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2DE" w:rsidRPr="00910A1A" w:rsidRDefault="00703CD2" w:rsidP="005B5E1D">
      <w:pPr>
        <w:spacing w:line="360" w:lineRule="auto"/>
        <w:rPr>
          <w:rFonts w:asciiTheme="minorHAnsi" w:hAnsiTheme="minorHAnsi" w:cs="Arial"/>
          <w:b/>
          <w:sz w:val="22"/>
          <w:szCs w:val="22"/>
          <w:u w:val="single"/>
        </w:rPr>
      </w:pPr>
      <w:bookmarkStart w:id="0" w:name="_GoBack"/>
      <w:bookmarkEnd w:id="0"/>
      <w:r w:rsidRPr="00910A1A">
        <w:rPr>
          <w:rFonts w:asciiTheme="minorHAnsi" w:hAnsiTheme="minorHAnsi" w:cs="Arial"/>
          <w:b/>
          <w:sz w:val="22"/>
          <w:szCs w:val="22"/>
          <w:u w:val="single"/>
        </w:rPr>
        <w:t xml:space="preserve">IN THE </w:t>
      </w:r>
      <w:r w:rsidR="005035A0">
        <w:rPr>
          <w:rFonts w:asciiTheme="minorHAnsi" w:hAnsiTheme="minorHAnsi" w:cs="Arial"/>
          <w:b/>
          <w:sz w:val="22"/>
          <w:szCs w:val="22"/>
          <w:u w:val="single"/>
        </w:rPr>
        <w:t xml:space="preserve">CROWN COURT AT </w:t>
      </w:r>
      <w:r w:rsidR="005035A0">
        <w:rPr>
          <w:rFonts w:asciiTheme="minorHAnsi" w:hAnsiTheme="minorHAnsi" w:cs="Arial"/>
          <w:b/>
          <w:color w:val="FF0000"/>
          <w:sz w:val="22"/>
          <w:szCs w:val="22"/>
          <w:u w:val="single"/>
        </w:rPr>
        <w:t>XXX</w:t>
      </w:r>
      <w:r w:rsidRPr="00910A1A">
        <w:rPr>
          <w:rFonts w:asciiTheme="minorHAnsi" w:hAnsiTheme="minorHAnsi" w:cs="Arial"/>
          <w:b/>
          <w:sz w:val="22"/>
          <w:szCs w:val="22"/>
          <w:u w:val="single"/>
        </w:rPr>
        <w:br/>
      </w:r>
      <w:r w:rsidRPr="00910A1A">
        <w:rPr>
          <w:rFonts w:asciiTheme="minorHAnsi" w:hAnsiTheme="minorHAnsi" w:cs="Arial"/>
          <w:b/>
          <w:sz w:val="22"/>
          <w:szCs w:val="22"/>
          <w:u w:val="single"/>
        </w:rPr>
        <w:br/>
      </w:r>
    </w:p>
    <w:p w:rsidR="005B5E1D" w:rsidRPr="00910A1A" w:rsidRDefault="00703CD2" w:rsidP="005B5E1D">
      <w:pPr>
        <w:spacing w:line="360" w:lineRule="auto"/>
        <w:jc w:val="center"/>
        <w:rPr>
          <w:rFonts w:asciiTheme="minorHAnsi" w:hAnsiTheme="minorHAnsi" w:cs="Arial"/>
          <w:b/>
          <w:sz w:val="22"/>
          <w:szCs w:val="22"/>
        </w:rPr>
      </w:pPr>
      <w:r w:rsidRPr="00910A1A">
        <w:rPr>
          <w:rFonts w:asciiTheme="minorHAnsi" w:hAnsiTheme="minorHAnsi" w:cs="Arial"/>
          <w:b/>
          <w:sz w:val="22"/>
          <w:szCs w:val="22"/>
        </w:rPr>
        <w:t>The Queen</w:t>
      </w:r>
    </w:p>
    <w:p w:rsidR="005B5E1D" w:rsidRPr="00910A1A" w:rsidRDefault="005B5E1D" w:rsidP="005B5E1D">
      <w:pPr>
        <w:spacing w:line="360" w:lineRule="auto"/>
        <w:jc w:val="center"/>
        <w:rPr>
          <w:rFonts w:asciiTheme="minorHAnsi" w:hAnsiTheme="minorHAnsi" w:cs="Arial"/>
          <w:b/>
          <w:sz w:val="22"/>
          <w:szCs w:val="22"/>
        </w:rPr>
      </w:pPr>
    </w:p>
    <w:p w:rsidR="005B5E1D" w:rsidRPr="00910A1A" w:rsidRDefault="00703CD2" w:rsidP="005B5E1D">
      <w:pPr>
        <w:spacing w:line="360" w:lineRule="auto"/>
        <w:jc w:val="center"/>
        <w:rPr>
          <w:rFonts w:asciiTheme="minorHAnsi" w:hAnsiTheme="minorHAnsi" w:cs="Arial"/>
          <w:b/>
          <w:sz w:val="22"/>
          <w:szCs w:val="22"/>
        </w:rPr>
      </w:pPr>
      <w:r w:rsidRPr="00910A1A">
        <w:rPr>
          <w:rFonts w:asciiTheme="minorHAnsi" w:hAnsiTheme="minorHAnsi" w:cs="Arial"/>
          <w:b/>
          <w:sz w:val="22"/>
          <w:szCs w:val="22"/>
        </w:rPr>
        <w:t>v</w:t>
      </w:r>
    </w:p>
    <w:p w:rsidR="005B5E1D" w:rsidRDefault="005B5E1D" w:rsidP="005B5E1D">
      <w:pPr>
        <w:spacing w:line="360" w:lineRule="auto"/>
        <w:jc w:val="center"/>
        <w:rPr>
          <w:rFonts w:asciiTheme="minorHAnsi" w:hAnsiTheme="minorHAnsi" w:cs="Arial"/>
          <w:b/>
          <w:sz w:val="22"/>
          <w:szCs w:val="22"/>
        </w:rPr>
      </w:pPr>
    </w:p>
    <w:p w:rsidR="005035A0" w:rsidRPr="005035A0" w:rsidRDefault="005035A0" w:rsidP="005B5E1D">
      <w:pPr>
        <w:spacing w:line="360" w:lineRule="auto"/>
        <w:jc w:val="center"/>
        <w:rPr>
          <w:rFonts w:asciiTheme="minorHAnsi" w:hAnsiTheme="minorHAnsi" w:cs="Arial"/>
          <w:b/>
          <w:color w:val="FF0000"/>
          <w:sz w:val="22"/>
          <w:szCs w:val="22"/>
        </w:rPr>
      </w:pPr>
      <w:r>
        <w:rPr>
          <w:rFonts w:asciiTheme="minorHAnsi" w:hAnsiTheme="minorHAnsi" w:cs="Arial"/>
          <w:b/>
          <w:color w:val="FF0000"/>
          <w:sz w:val="22"/>
          <w:szCs w:val="22"/>
        </w:rPr>
        <w:t>XXX</w:t>
      </w:r>
    </w:p>
    <w:p w:rsidR="003612DE" w:rsidRPr="00910A1A" w:rsidRDefault="00703CD2" w:rsidP="005B5E1D">
      <w:pPr>
        <w:spacing w:line="360" w:lineRule="auto"/>
        <w:jc w:val="center"/>
        <w:rPr>
          <w:rFonts w:asciiTheme="minorHAnsi" w:hAnsiTheme="minorHAnsi" w:cs="Arial"/>
          <w:sz w:val="22"/>
          <w:szCs w:val="22"/>
        </w:rPr>
      </w:pPr>
      <w:r w:rsidRPr="00910A1A">
        <w:rPr>
          <w:rFonts w:asciiTheme="minorHAnsi" w:hAnsiTheme="minorHAnsi" w:cs="Arial"/>
          <w:b/>
          <w:sz w:val="22"/>
          <w:szCs w:val="22"/>
        </w:rPr>
        <w:br/>
      </w:r>
      <w:r w:rsidRPr="00910A1A">
        <w:rPr>
          <w:rFonts w:asciiTheme="minorHAnsi" w:hAnsiTheme="minorHAnsi" w:cs="Arial"/>
          <w:sz w:val="22"/>
          <w:szCs w:val="22"/>
        </w:rPr>
        <w:br/>
      </w:r>
    </w:p>
    <w:p w:rsidR="003612DE" w:rsidRPr="00910A1A" w:rsidRDefault="003612DE" w:rsidP="005B5E1D">
      <w:pPr>
        <w:spacing w:line="360" w:lineRule="auto"/>
        <w:rPr>
          <w:rFonts w:asciiTheme="minorHAnsi" w:hAnsiTheme="minorHAnsi" w:cs="Arial"/>
          <w:b/>
          <w:sz w:val="22"/>
          <w:szCs w:val="22"/>
          <w:u w:val="single"/>
        </w:rPr>
      </w:pPr>
      <w:r w:rsidRPr="00910A1A">
        <w:rPr>
          <w:rFonts w:asciiTheme="minorHAnsi" w:hAnsiTheme="minorHAnsi" w:cs="Arial"/>
          <w:b/>
          <w:sz w:val="22"/>
          <w:szCs w:val="22"/>
          <w:u w:val="single"/>
        </w:rPr>
        <w:t>NOTICE OF APPLICATION TO EXTEND A CUSTODY TIME LIMIT</w:t>
      </w:r>
    </w:p>
    <w:p w:rsidR="003612DE" w:rsidRPr="00910A1A" w:rsidRDefault="003612DE" w:rsidP="005B5E1D">
      <w:pPr>
        <w:spacing w:line="360" w:lineRule="auto"/>
        <w:rPr>
          <w:rFonts w:asciiTheme="minorHAnsi" w:hAnsiTheme="minorHAnsi" w:cs="Arial"/>
          <w:sz w:val="22"/>
          <w:szCs w:val="22"/>
        </w:rPr>
      </w:pPr>
    </w:p>
    <w:p w:rsidR="003612DE" w:rsidRPr="005035A0" w:rsidRDefault="003612DE" w:rsidP="005B5E1D">
      <w:pPr>
        <w:spacing w:line="360" w:lineRule="auto"/>
        <w:rPr>
          <w:rFonts w:asciiTheme="minorHAnsi" w:hAnsiTheme="minorHAnsi" w:cs="Arial"/>
          <w:color w:val="FF0000"/>
          <w:sz w:val="22"/>
          <w:szCs w:val="22"/>
        </w:rPr>
      </w:pPr>
      <w:r w:rsidRPr="00910A1A">
        <w:rPr>
          <w:rFonts w:asciiTheme="minorHAnsi" w:hAnsiTheme="minorHAnsi" w:cs="Arial"/>
          <w:sz w:val="22"/>
          <w:szCs w:val="22"/>
        </w:rPr>
        <w:t>To</w:t>
      </w:r>
      <w:r w:rsidR="005035A0">
        <w:rPr>
          <w:rFonts w:asciiTheme="minorHAnsi" w:hAnsiTheme="minorHAnsi" w:cs="Arial"/>
          <w:sz w:val="22"/>
          <w:szCs w:val="22"/>
        </w:rPr>
        <w:t xml:space="preserve">: The </w:t>
      </w:r>
      <w:r w:rsidRPr="00910A1A">
        <w:rPr>
          <w:rFonts w:asciiTheme="minorHAnsi" w:hAnsiTheme="minorHAnsi" w:cs="Arial"/>
          <w:sz w:val="22"/>
          <w:szCs w:val="22"/>
        </w:rPr>
        <w:t>Crown Court</w:t>
      </w:r>
      <w:r w:rsidR="005035A0">
        <w:rPr>
          <w:rFonts w:asciiTheme="minorHAnsi" w:hAnsiTheme="minorHAnsi" w:cs="Arial"/>
          <w:sz w:val="22"/>
          <w:szCs w:val="22"/>
        </w:rPr>
        <w:t xml:space="preserve"> at </w:t>
      </w:r>
      <w:r w:rsidR="005035A0">
        <w:rPr>
          <w:rFonts w:asciiTheme="minorHAnsi" w:hAnsiTheme="minorHAnsi" w:cs="Arial"/>
          <w:color w:val="FF0000"/>
          <w:sz w:val="22"/>
          <w:szCs w:val="22"/>
        </w:rPr>
        <w:t>XXX</w:t>
      </w:r>
    </w:p>
    <w:p w:rsidR="003612DE" w:rsidRPr="00910A1A" w:rsidRDefault="003612DE" w:rsidP="005B5E1D">
      <w:pPr>
        <w:spacing w:line="360" w:lineRule="auto"/>
        <w:rPr>
          <w:rFonts w:asciiTheme="minorHAnsi" w:hAnsiTheme="minorHAnsi" w:cs="Arial"/>
          <w:sz w:val="22"/>
          <w:szCs w:val="22"/>
        </w:rPr>
      </w:pPr>
    </w:p>
    <w:p w:rsidR="003612DE" w:rsidRPr="005035A0" w:rsidRDefault="003612DE" w:rsidP="005B5E1D">
      <w:pPr>
        <w:spacing w:line="360" w:lineRule="auto"/>
        <w:rPr>
          <w:rFonts w:asciiTheme="minorHAnsi" w:hAnsiTheme="minorHAnsi" w:cs="Arial"/>
          <w:color w:val="FF0000"/>
          <w:sz w:val="22"/>
          <w:szCs w:val="22"/>
        </w:rPr>
      </w:pPr>
      <w:r w:rsidRPr="00910A1A">
        <w:rPr>
          <w:rFonts w:asciiTheme="minorHAnsi" w:hAnsiTheme="minorHAnsi" w:cs="Arial"/>
          <w:sz w:val="22"/>
          <w:szCs w:val="22"/>
        </w:rPr>
        <w:t>To</w:t>
      </w:r>
      <w:r w:rsidR="005035A0">
        <w:rPr>
          <w:rFonts w:asciiTheme="minorHAnsi" w:hAnsiTheme="minorHAnsi" w:cs="Arial"/>
          <w:sz w:val="22"/>
          <w:szCs w:val="22"/>
        </w:rPr>
        <w:t xml:space="preserve">: the Defendant </w:t>
      </w:r>
      <w:r w:rsidR="005035A0">
        <w:rPr>
          <w:rFonts w:asciiTheme="minorHAnsi" w:hAnsiTheme="minorHAnsi" w:cs="Arial"/>
          <w:color w:val="FF0000"/>
          <w:sz w:val="22"/>
          <w:szCs w:val="22"/>
        </w:rPr>
        <w:t>XXX</w:t>
      </w:r>
    </w:p>
    <w:p w:rsidR="003612DE" w:rsidRPr="00910A1A" w:rsidRDefault="003612DE" w:rsidP="005B5E1D">
      <w:pPr>
        <w:spacing w:line="360" w:lineRule="auto"/>
        <w:rPr>
          <w:rFonts w:asciiTheme="minorHAnsi" w:hAnsiTheme="minorHAnsi" w:cs="Arial"/>
          <w:sz w:val="22"/>
          <w:szCs w:val="22"/>
        </w:rPr>
      </w:pPr>
    </w:p>
    <w:p w:rsidR="005B5E1D" w:rsidRPr="005035A0" w:rsidRDefault="003612DE" w:rsidP="005B5E1D">
      <w:pPr>
        <w:spacing w:line="360" w:lineRule="auto"/>
        <w:rPr>
          <w:rFonts w:asciiTheme="minorHAnsi" w:hAnsiTheme="minorHAnsi" w:cs="Arial"/>
          <w:color w:val="FF0000"/>
          <w:sz w:val="22"/>
          <w:szCs w:val="22"/>
        </w:rPr>
      </w:pPr>
      <w:r w:rsidRPr="00910A1A">
        <w:rPr>
          <w:rFonts w:asciiTheme="minorHAnsi" w:hAnsiTheme="minorHAnsi" w:cs="Arial"/>
          <w:sz w:val="22"/>
          <w:szCs w:val="22"/>
        </w:rPr>
        <w:t>URN</w:t>
      </w:r>
      <w:r w:rsidR="005035A0">
        <w:rPr>
          <w:rFonts w:asciiTheme="minorHAnsi" w:hAnsiTheme="minorHAnsi" w:cs="Arial"/>
          <w:sz w:val="22"/>
          <w:szCs w:val="22"/>
        </w:rPr>
        <w:t xml:space="preserve">: </w:t>
      </w:r>
      <w:r w:rsidR="005035A0">
        <w:rPr>
          <w:rFonts w:asciiTheme="minorHAnsi" w:hAnsiTheme="minorHAnsi" w:cs="Arial"/>
          <w:color w:val="FF0000"/>
          <w:sz w:val="22"/>
          <w:szCs w:val="22"/>
        </w:rPr>
        <w:t>XXX</w:t>
      </w:r>
    </w:p>
    <w:p w:rsidR="005B5E1D" w:rsidRPr="00910A1A" w:rsidRDefault="005B5E1D" w:rsidP="005B5E1D">
      <w:pPr>
        <w:spacing w:line="360" w:lineRule="auto"/>
        <w:rPr>
          <w:rFonts w:asciiTheme="minorHAnsi" w:hAnsiTheme="minorHAnsi" w:cs="Arial"/>
          <w:sz w:val="22"/>
          <w:szCs w:val="22"/>
        </w:rPr>
      </w:pPr>
    </w:p>
    <w:p w:rsidR="003612DE" w:rsidRPr="005035A0" w:rsidRDefault="005035A0" w:rsidP="005B5E1D">
      <w:pPr>
        <w:spacing w:line="360" w:lineRule="auto"/>
        <w:rPr>
          <w:rFonts w:asciiTheme="minorHAnsi" w:hAnsiTheme="minorHAnsi" w:cs="Arial"/>
          <w:color w:val="FF0000"/>
          <w:sz w:val="22"/>
          <w:szCs w:val="22"/>
        </w:rPr>
      </w:pPr>
      <w:r>
        <w:rPr>
          <w:rFonts w:asciiTheme="minorHAnsi" w:hAnsiTheme="minorHAnsi" w:cs="Arial"/>
          <w:sz w:val="22"/>
          <w:szCs w:val="22"/>
        </w:rPr>
        <w:t xml:space="preserve">Crown Court number: </w:t>
      </w:r>
      <w:r>
        <w:rPr>
          <w:rFonts w:asciiTheme="minorHAnsi" w:hAnsiTheme="minorHAnsi" w:cs="Arial"/>
          <w:color w:val="FF0000"/>
          <w:sz w:val="22"/>
          <w:szCs w:val="22"/>
        </w:rPr>
        <w:t>XXX</w:t>
      </w:r>
    </w:p>
    <w:p w:rsidR="003612DE" w:rsidRPr="00910A1A" w:rsidRDefault="003612DE" w:rsidP="005B5E1D">
      <w:pPr>
        <w:spacing w:line="360" w:lineRule="auto"/>
        <w:rPr>
          <w:rFonts w:asciiTheme="minorHAnsi" w:hAnsiTheme="minorHAnsi" w:cs="Arial"/>
          <w:sz w:val="22"/>
          <w:szCs w:val="22"/>
        </w:rPr>
      </w:pPr>
    </w:p>
    <w:p w:rsidR="003612DE" w:rsidRPr="00910A1A" w:rsidRDefault="003612DE" w:rsidP="005B5E1D">
      <w:pPr>
        <w:spacing w:line="360" w:lineRule="auto"/>
        <w:rPr>
          <w:rFonts w:asciiTheme="minorHAnsi" w:hAnsiTheme="minorHAnsi" w:cs="Arial"/>
          <w:sz w:val="22"/>
          <w:szCs w:val="22"/>
        </w:rPr>
      </w:pPr>
      <w:r w:rsidRPr="00910A1A">
        <w:rPr>
          <w:rFonts w:asciiTheme="minorHAnsi" w:hAnsiTheme="minorHAnsi" w:cs="Arial"/>
          <w:sz w:val="22"/>
          <w:szCs w:val="22"/>
        </w:rPr>
        <w:t>TAKE NOTICE THAT under section 22 (3) of the Prosecution of Offences Act 1985 (the Act) and under Regulation 7(2) of the Prosecution of Offences (Custody Time Limits) Regulations 1987, it is the intention of the Crown Prosecution Service to make an application to extend the custody time li</w:t>
      </w:r>
      <w:r w:rsidR="005B5E1D" w:rsidRPr="00910A1A">
        <w:rPr>
          <w:rFonts w:asciiTheme="minorHAnsi" w:hAnsiTheme="minorHAnsi" w:cs="Arial"/>
          <w:sz w:val="22"/>
          <w:szCs w:val="22"/>
        </w:rPr>
        <w:t>mits at Wood Green Crown Court on 20 April 2018.</w:t>
      </w:r>
    </w:p>
    <w:p w:rsidR="003612DE" w:rsidRPr="00910A1A" w:rsidRDefault="003612DE" w:rsidP="005B5E1D">
      <w:pPr>
        <w:spacing w:line="360" w:lineRule="auto"/>
        <w:rPr>
          <w:rFonts w:asciiTheme="minorHAnsi" w:hAnsiTheme="minorHAnsi" w:cs="Arial"/>
          <w:sz w:val="22"/>
          <w:szCs w:val="22"/>
        </w:rPr>
      </w:pPr>
    </w:p>
    <w:p w:rsidR="003612DE" w:rsidRPr="00910A1A" w:rsidRDefault="005B5E1D" w:rsidP="005B5E1D">
      <w:pPr>
        <w:spacing w:line="360" w:lineRule="auto"/>
        <w:rPr>
          <w:rFonts w:asciiTheme="minorHAnsi" w:hAnsiTheme="minorHAnsi" w:cs="Arial"/>
          <w:sz w:val="22"/>
          <w:szCs w:val="22"/>
        </w:rPr>
      </w:pPr>
      <w:r w:rsidRPr="00910A1A">
        <w:rPr>
          <w:rFonts w:asciiTheme="minorHAnsi" w:hAnsiTheme="minorHAnsi" w:cs="Arial"/>
          <w:sz w:val="22"/>
          <w:szCs w:val="22"/>
        </w:rPr>
        <w:t xml:space="preserve">The charges for which </w:t>
      </w:r>
      <w:r w:rsidR="003612DE" w:rsidRPr="00910A1A">
        <w:rPr>
          <w:rFonts w:asciiTheme="minorHAnsi" w:hAnsiTheme="minorHAnsi" w:cs="Arial"/>
          <w:sz w:val="22"/>
          <w:szCs w:val="22"/>
        </w:rPr>
        <w:t>extension</w:t>
      </w:r>
      <w:r w:rsidRPr="00910A1A">
        <w:rPr>
          <w:rFonts w:asciiTheme="minorHAnsi" w:hAnsiTheme="minorHAnsi" w:cs="Arial"/>
          <w:sz w:val="22"/>
          <w:szCs w:val="22"/>
        </w:rPr>
        <w:t>s are</w:t>
      </w:r>
      <w:r w:rsidR="003612DE" w:rsidRPr="00910A1A">
        <w:rPr>
          <w:rFonts w:asciiTheme="minorHAnsi" w:hAnsiTheme="minorHAnsi" w:cs="Arial"/>
          <w:sz w:val="22"/>
          <w:szCs w:val="22"/>
        </w:rPr>
        <w:t xml:space="preserve"> required are: </w:t>
      </w:r>
    </w:p>
    <w:p w:rsidR="003612DE" w:rsidRPr="00910A1A" w:rsidRDefault="003612DE" w:rsidP="005B5E1D">
      <w:pPr>
        <w:spacing w:line="360" w:lineRule="auto"/>
        <w:rPr>
          <w:rFonts w:asciiTheme="minorHAnsi" w:hAnsiTheme="minorHAnsi" w:cs="Arial"/>
          <w:sz w:val="22"/>
          <w:szCs w:val="22"/>
        </w:rPr>
      </w:pPr>
    </w:p>
    <w:p w:rsidR="003612DE" w:rsidRPr="00910A1A" w:rsidRDefault="005035A0" w:rsidP="005B5E1D">
      <w:pPr>
        <w:numPr>
          <w:ilvl w:val="0"/>
          <w:numId w:val="1"/>
        </w:numPr>
        <w:spacing w:line="360" w:lineRule="auto"/>
        <w:rPr>
          <w:rFonts w:asciiTheme="minorHAnsi" w:hAnsiTheme="minorHAnsi" w:cs="Arial"/>
          <w:sz w:val="22"/>
          <w:szCs w:val="22"/>
        </w:rPr>
      </w:pPr>
      <w:r>
        <w:rPr>
          <w:rFonts w:asciiTheme="minorHAnsi" w:hAnsiTheme="minorHAnsi" w:cs="Arial"/>
          <w:color w:val="FF0000"/>
          <w:sz w:val="22"/>
          <w:szCs w:val="22"/>
        </w:rPr>
        <w:t>XXX</w:t>
      </w:r>
    </w:p>
    <w:p w:rsidR="005B5E1D" w:rsidRPr="00910A1A" w:rsidRDefault="005B5E1D" w:rsidP="005B5E1D">
      <w:pPr>
        <w:spacing w:line="360" w:lineRule="auto"/>
        <w:ind w:left="720"/>
        <w:rPr>
          <w:rFonts w:asciiTheme="minorHAnsi" w:hAnsiTheme="minorHAnsi" w:cs="Arial"/>
          <w:sz w:val="22"/>
          <w:szCs w:val="22"/>
        </w:rPr>
      </w:pPr>
    </w:p>
    <w:p w:rsidR="003612DE" w:rsidRPr="00910A1A" w:rsidRDefault="005035A0" w:rsidP="005B5E1D">
      <w:pPr>
        <w:numPr>
          <w:ilvl w:val="0"/>
          <w:numId w:val="1"/>
        </w:numPr>
        <w:spacing w:line="360" w:lineRule="auto"/>
        <w:rPr>
          <w:rFonts w:asciiTheme="minorHAnsi" w:hAnsiTheme="minorHAnsi" w:cs="Arial"/>
          <w:sz w:val="22"/>
          <w:szCs w:val="22"/>
        </w:rPr>
      </w:pPr>
      <w:r>
        <w:rPr>
          <w:rFonts w:asciiTheme="minorHAnsi" w:hAnsiTheme="minorHAnsi" w:cs="Arial"/>
          <w:color w:val="FF0000"/>
          <w:sz w:val="22"/>
          <w:szCs w:val="22"/>
        </w:rPr>
        <w:t>XXX</w:t>
      </w:r>
    </w:p>
    <w:p w:rsidR="005B5E1D" w:rsidRPr="00910A1A" w:rsidRDefault="005B5E1D" w:rsidP="005B5E1D">
      <w:pPr>
        <w:pStyle w:val="ListParagraph"/>
        <w:rPr>
          <w:rFonts w:asciiTheme="minorHAnsi" w:hAnsiTheme="minorHAnsi" w:cs="Arial"/>
        </w:rPr>
      </w:pPr>
    </w:p>
    <w:p w:rsidR="005B5E1D" w:rsidRPr="00910A1A" w:rsidRDefault="005B5E1D" w:rsidP="005B5E1D">
      <w:pPr>
        <w:spacing w:line="360" w:lineRule="auto"/>
        <w:ind w:left="720"/>
        <w:rPr>
          <w:rFonts w:asciiTheme="minorHAnsi" w:hAnsiTheme="minorHAnsi" w:cs="Arial"/>
          <w:sz w:val="22"/>
          <w:szCs w:val="22"/>
        </w:rPr>
      </w:pPr>
    </w:p>
    <w:p w:rsidR="003612DE" w:rsidRPr="00910A1A" w:rsidRDefault="003612DE" w:rsidP="005B5E1D">
      <w:pPr>
        <w:spacing w:line="360" w:lineRule="auto"/>
        <w:rPr>
          <w:rFonts w:asciiTheme="minorHAnsi" w:hAnsiTheme="minorHAnsi" w:cs="Arial"/>
          <w:sz w:val="22"/>
          <w:szCs w:val="22"/>
        </w:rPr>
      </w:pPr>
    </w:p>
    <w:p w:rsidR="00A708D3" w:rsidRPr="00910A1A" w:rsidRDefault="003612DE" w:rsidP="005B5E1D">
      <w:pPr>
        <w:spacing w:line="360" w:lineRule="auto"/>
        <w:rPr>
          <w:rFonts w:asciiTheme="minorHAnsi" w:hAnsiTheme="minorHAnsi" w:cs="Arial"/>
          <w:sz w:val="22"/>
          <w:szCs w:val="22"/>
        </w:rPr>
      </w:pPr>
      <w:r w:rsidRPr="00910A1A">
        <w:rPr>
          <w:rFonts w:asciiTheme="minorHAnsi" w:hAnsiTheme="minorHAnsi" w:cs="Arial"/>
          <w:sz w:val="22"/>
          <w:szCs w:val="22"/>
        </w:rPr>
        <w:lastRenderedPageBreak/>
        <w:t>The custody time</w:t>
      </w:r>
      <w:r w:rsidR="005035A0">
        <w:rPr>
          <w:rFonts w:asciiTheme="minorHAnsi" w:hAnsiTheme="minorHAnsi" w:cs="Arial"/>
          <w:sz w:val="22"/>
          <w:szCs w:val="22"/>
        </w:rPr>
        <w:t xml:space="preserve"> limits expire on </w:t>
      </w:r>
      <w:r w:rsidR="005035A0">
        <w:rPr>
          <w:rFonts w:asciiTheme="minorHAnsi" w:hAnsiTheme="minorHAnsi" w:cs="Arial"/>
          <w:color w:val="FF0000"/>
          <w:sz w:val="22"/>
          <w:szCs w:val="22"/>
        </w:rPr>
        <w:t>XXX</w:t>
      </w:r>
      <w:r w:rsidRPr="00910A1A">
        <w:rPr>
          <w:rFonts w:asciiTheme="minorHAnsi" w:hAnsiTheme="minorHAnsi" w:cs="Arial"/>
          <w:sz w:val="22"/>
          <w:szCs w:val="22"/>
        </w:rPr>
        <w:br/>
      </w:r>
      <w:r w:rsidRPr="00910A1A">
        <w:rPr>
          <w:rFonts w:asciiTheme="minorHAnsi" w:hAnsiTheme="minorHAnsi" w:cs="Arial"/>
          <w:sz w:val="22"/>
          <w:szCs w:val="22"/>
        </w:rPr>
        <w:br/>
        <w:t xml:space="preserve">The custody time limits </w:t>
      </w:r>
      <w:r w:rsidR="00704ADF" w:rsidRPr="005035A0">
        <w:rPr>
          <w:rFonts w:asciiTheme="minorHAnsi" w:hAnsiTheme="minorHAnsi" w:cs="Arial"/>
          <w:color w:val="FF0000"/>
          <w:sz w:val="22"/>
          <w:szCs w:val="22"/>
        </w:rPr>
        <w:t>have</w:t>
      </w:r>
      <w:r w:rsidR="005035A0" w:rsidRPr="005035A0">
        <w:rPr>
          <w:rFonts w:asciiTheme="minorHAnsi" w:hAnsiTheme="minorHAnsi" w:cs="Arial"/>
          <w:color w:val="FF0000"/>
          <w:sz w:val="22"/>
          <w:szCs w:val="22"/>
        </w:rPr>
        <w:t>/have not</w:t>
      </w:r>
      <w:r w:rsidR="00704ADF" w:rsidRPr="005035A0">
        <w:rPr>
          <w:rFonts w:asciiTheme="minorHAnsi" w:hAnsiTheme="minorHAnsi" w:cs="Arial"/>
          <w:color w:val="FF0000"/>
          <w:sz w:val="22"/>
          <w:szCs w:val="22"/>
        </w:rPr>
        <w:t xml:space="preserve"> </w:t>
      </w:r>
      <w:r w:rsidR="00704ADF" w:rsidRPr="00910A1A">
        <w:rPr>
          <w:rFonts w:asciiTheme="minorHAnsi" w:hAnsiTheme="minorHAnsi" w:cs="Arial"/>
          <w:sz w:val="22"/>
          <w:szCs w:val="22"/>
        </w:rPr>
        <w:t>been</w:t>
      </w:r>
      <w:r w:rsidRPr="00910A1A">
        <w:rPr>
          <w:rFonts w:asciiTheme="minorHAnsi" w:hAnsiTheme="minorHAnsi" w:cs="Arial"/>
          <w:sz w:val="22"/>
          <w:szCs w:val="22"/>
        </w:rPr>
        <w:t xml:space="preserve"> previously extended</w:t>
      </w:r>
      <w:r w:rsidR="00A708D3" w:rsidRPr="00910A1A">
        <w:rPr>
          <w:rFonts w:asciiTheme="minorHAnsi" w:hAnsiTheme="minorHAnsi" w:cs="Arial"/>
          <w:sz w:val="22"/>
          <w:szCs w:val="22"/>
        </w:rPr>
        <w:t xml:space="preserve">: </w:t>
      </w:r>
    </w:p>
    <w:p w:rsidR="00A708D3" w:rsidRPr="00910A1A" w:rsidRDefault="00A708D3" w:rsidP="005B5E1D">
      <w:pPr>
        <w:spacing w:line="360" w:lineRule="auto"/>
        <w:rPr>
          <w:rFonts w:asciiTheme="minorHAnsi" w:hAnsiTheme="minorHAnsi" w:cs="Arial"/>
          <w:sz w:val="22"/>
          <w:szCs w:val="22"/>
        </w:rPr>
      </w:pPr>
    </w:p>
    <w:p w:rsidR="003612DE" w:rsidRPr="005035A0" w:rsidRDefault="005035A0" w:rsidP="005035A0">
      <w:pPr>
        <w:spacing w:line="360" w:lineRule="auto"/>
        <w:rPr>
          <w:rFonts w:asciiTheme="minorHAnsi" w:hAnsiTheme="minorHAnsi" w:cs="Arial"/>
        </w:rPr>
      </w:pPr>
      <w:r>
        <w:rPr>
          <w:rFonts w:asciiTheme="minorHAnsi" w:hAnsiTheme="minorHAnsi" w:cs="Arial"/>
          <w:color w:val="FF0000"/>
        </w:rPr>
        <w:t>Provide details of previous extensions.</w:t>
      </w:r>
      <w:r w:rsidR="003612DE" w:rsidRPr="005035A0">
        <w:rPr>
          <w:rFonts w:asciiTheme="minorHAnsi" w:hAnsiTheme="minorHAnsi" w:cs="Arial"/>
        </w:rPr>
        <w:br/>
      </w:r>
    </w:p>
    <w:p w:rsidR="003612DE" w:rsidRPr="00910A1A" w:rsidRDefault="003612DE" w:rsidP="005B5E1D">
      <w:pPr>
        <w:spacing w:line="360" w:lineRule="auto"/>
        <w:rPr>
          <w:rFonts w:asciiTheme="minorHAnsi" w:hAnsiTheme="minorHAnsi" w:cs="Arial"/>
          <w:sz w:val="22"/>
          <w:szCs w:val="22"/>
        </w:rPr>
      </w:pPr>
    </w:p>
    <w:p w:rsidR="003612DE" w:rsidRPr="005035A0" w:rsidRDefault="003612DE" w:rsidP="005B5E1D">
      <w:pPr>
        <w:spacing w:line="360" w:lineRule="auto"/>
        <w:rPr>
          <w:rFonts w:asciiTheme="minorHAnsi" w:hAnsiTheme="minorHAnsi" w:cs="Arial"/>
          <w:color w:val="FF0000"/>
          <w:sz w:val="22"/>
          <w:szCs w:val="22"/>
        </w:rPr>
      </w:pPr>
      <w:r w:rsidRPr="00910A1A">
        <w:rPr>
          <w:rFonts w:asciiTheme="minorHAnsi" w:hAnsiTheme="minorHAnsi" w:cs="Arial"/>
          <w:sz w:val="22"/>
          <w:szCs w:val="22"/>
        </w:rPr>
        <w:t xml:space="preserve">Date of Notice: </w:t>
      </w:r>
      <w:r w:rsidR="005035A0">
        <w:rPr>
          <w:rFonts w:asciiTheme="minorHAnsi" w:hAnsiTheme="minorHAnsi" w:cs="Arial"/>
          <w:color w:val="FF0000"/>
          <w:sz w:val="22"/>
          <w:szCs w:val="22"/>
        </w:rPr>
        <w:t>XXX</w:t>
      </w:r>
    </w:p>
    <w:p w:rsidR="008150C4" w:rsidRPr="00910A1A" w:rsidRDefault="008150C4" w:rsidP="005B5E1D">
      <w:pPr>
        <w:spacing w:line="360" w:lineRule="auto"/>
        <w:rPr>
          <w:rFonts w:asciiTheme="minorHAnsi" w:hAnsiTheme="minorHAnsi" w:cs="Arial"/>
          <w:sz w:val="22"/>
          <w:szCs w:val="22"/>
        </w:rPr>
      </w:pPr>
    </w:p>
    <w:p w:rsidR="008150C4" w:rsidRPr="00910A1A" w:rsidRDefault="008150C4" w:rsidP="005B5E1D">
      <w:pPr>
        <w:spacing w:line="360" w:lineRule="auto"/>
        <w:rPr>
          <w:rFonts w:asciiTheme="minorHAnsi" w:hAnsiTheme="minorHAnsi" w:cs="Arial"/>
          <w:b/>
          <w:iCs/>
          <w:sz w:val="22"/>
          <w:szCs w:val="22"/>
          <w:u w:val="single"/>
        </w:rPr>
      </w:pPr>
    </w:p>
    <w:p w:rsidR="008150C4" w:rsidRPr="00910A1A" w:rsidRDefault="008150C4" w:rsidP="005B5E1D">
      <w:pPr>
        <w:spacing w:line="360" w:lineRule="auto"/>
        <w:rPr>
          <w:rFonts w:asciiTheme="minorHAnsi" w:hAnsiTheme="minorHAnsi" w:cs="Arial"/>
          <w:b/>
          <w:iCs/>
          <w:sz w:val="22"/>
          <w:szCs w:val="22"/>
          <w:u w:val="single"/>
        </w:rPr>
      </w:pPr>
      <w:r w:rsidRPr="00910A1A">
        <w:rPr>
          <w:rFonts w:asciiTheme="minorHAnsi" w:hAnsiTheme="minorHAnsi" w:cs="Arial"/>
          <w:b/>
          <w:iCs/>
          <w:sz w:val="22"/>
          <w:szCs w:val="22"/>
          <w:u w:val="single"/>
        </w:rPr>
        <w:t>DETAILS OF THE APPLICATION</w:t>
      </w:r>
    </w:p>
    <w:p w:rsidR="003839F8" w:rsidRDefault="003839F8" w:rsidP="005B5E1D">
      <w:pPr>
        <w:spacing w:line="360" w:lineRule="auto"/>
        <w:rPr>
          <w:rFonts w:asciiTheme="minorHAnsi" w:hAnsiTheme="minorHAnsi"/>
          <w:color w:val="1F497D"/>
        </w:rPr>
      </w:pPr>
    </w:p>
    <w:p w:rsidR="003839F8" w:rsidRPr="003839F8" w:rsidRDefault="003839F8" w:rsidP="003839F8">
      <w:pPr>
        <w:spacing w:line="360" w:lineRule="auto"/>
        <w:jc w:val="both"/>
        <w:rPr>
          <w:rFonts w:asciiTheme="minorHAnsi" w:hAnsiTheme="minorHAnsi"/>
          <w:sz w:val="22"/>
          <w:szCs w:val="22"/>
        </w:rPr>
      </w:pPr>
      <w:r w:rsidRPr="003839F8">
        <w:rPr>
          <w:rFonts w:asciiTheme="minorHAnsi" w:hAnsiTheme="minorHAnsi"/>
          <w:sz w:val="22"/>
          <w:szCs w:val="22"/>
        </w:rPr>
        <w:t>This application is made due to the current public health crisis.</w:t>
      </w:r>
    </w:p>
    <w:p w:rsidR="003839F8" w:rsidRPr="003839F8" w:rsidRDefault="003839F8" w:rsidP="003839F8">
      <w:pPr>
        <w:spacing w:line="360" w:lineRule="auto"/>
        <w:jc w:val="both"/>
        <w:rPr>
          <w:rFonts w:asciiTheme="minorHAnsi" w:hAnsiTheme="minorHAnsi"/>
          <w:sz w:val="22"/>
          <w:szCs w:val="22"/>
        </w:rPr>
      </w:pPr>
    </w:p>
    <w:p w:rsidR="008150C4" w:rsidRPr="003839F8" w:rsidRDefault="003839F8" w:rsidP="003839F8">
      <w:pPr>
        <w:spacing w:line="360" w:lineRule="auto"/>
        <w:jc w:val="both"/>
        <w:rPr>
          <w:rFonts w:asciiTheme="minorHAnsi" w:hAnsiTheme="minorHAnsi"/>
          <w:sz w:val="22"/>
          <w:szCs w:val="22"/>
        </w:rPr>
      </w:pPr>
      <w:r w:rsidRPr="003839F8">
        <w:rPr>
          <w:rFonts w:asciiTheme="minorHAnsi" w:hAnsiTheme="minorHAnsi"/>
          <w:sz w:val="22"/>
          <w:szCs w:val="22"/>
        </w:rPr>
        <w:t>In the event that a defendant is unable to attend the hearing at which the application to extend custody time limits is to be made due to circumstances arising out of the current health crisis, the prosecution would invite the Court to consider exercising its discretion to hear this application to extend in the absence of the accused in accordance with Rule 14.2(1)(c) Criminal Procedure Rules, on the basis that it would be just to do so in light of all the circumstances.</w:t>
      </w:r>
    </w:p>
    <w:p w:rsidR="003839F8" w:rsidRPr="003839F8" w:rsidRDefault="003839F8" w:rsidP="003839F8">
      <w:pPr>
        <w:spacing w:line="360" w:lineRule="auto"/>
        <w:jc w:val="both"/>
        <w:rPr>
          <w:rFonts w:asciiTheme="minorHAnsi" w:hAnsiTheme="minorHAnsi" w:cs="Arial"/>
          <w:iCs/>
          <w:sz w:val="22"/>
          <w:szCs w:val="22"/>
        </w:rPr>
      </w:pPr>
    </w:p>
    <w:p w:rsidR="003612DE" w:rsidRPr="00910A1A" w:rsidRDefault="003612DE" w:rsidP="005B5E1D">
      <w:pPr>
        <w:spacing w:line="360" w:lineRule="auto"/>
        <w:rPr>
          <w:rFonts w:asciiTheme="minorHAnsi" w:hAnsiTheme="minorHAnsi" w:cs="Arial"/>
          <w:iCs/>
          <w:sz w:val="22"/>
          <w:szCs w:val="22"/>
        </w:rPr>
      </w:pPr>
      <w:r w:rsidRPr="00910A1A">
        <w:rPr>
          <w:rFonts w:asciiTheme="minorHAnsi" w:hAnsiTheme="minorHAnsi" w:cs="Arial"/>
          <w:iCs/>
          <w:sz w:val="22"/>
          <w:szCs w:val="22"/>
        </w:rPr>
        <w:t>As set out in section 22(3) Prosecution of Offences Act 1985, the court can only extend the custody time limit if it is satisfied that the need for the extension is due to:</w:t>
      </w:r>
    </w:p>
    <w:p w:rsidR="003612DE" w:rsidRPr="00910A1A" w:rsidRDefault="003612DE" w:rsidP="005B5E1D">
      <w:pPr>
        <w:numPr>
          <w:ilvl w:val="1"/>
          <w:numId w:val="2"/>
        </w:numPr>
        <w:spacing w:before="100" w:beforeAutospacing="1" w:after="100" w:afterAutospacing="1" w:line="360" w:lineRule="auto"/>
        <w:rPr>
          <w:rFonts w:asciiTheme="minorHAnsi" w:hAnsiTheme="minorHAnsi" w:cs="Arial"/>
          <w:iCs/>
          <w:color w:val="000000"/>
          <w:sz w:val="22"/>
          <w:szCs w:val="22"/>
        </w:rPr>
      </w:pPr>
      <w:r w:rsidRPr="00910A1A">
        <w:rPr>
          <w:rFonts w:asciiTheme="minorHAnsi" w:hAnsiTheme="minorHAnsi" w:cs="Arial"/>
          <w:iCs/>
          <w:color w:val="000000"/>
          <w:sz w:val="22"/>
          <w:szCs w:val="22"/>
        </w:rPr>
        <w:t xml:space="preserve">the illness or absence of the accused, a necessary witness, a judge or a magistrate;  </w:t>
      </w:r>
    </w:p>
    <w:p w:rsidR="003612DE" w:rsidRPr="00910A1A" w:rsidRDefault="003612DE" w:rsidP="005B5E1D">
      <w:pPr>
        <w:numPr>
          <w:ilvl w:val="1"/>
          <w:numId w:val="2"/>
        </w:numPr>
        <w:spacing w:before="100" w:beforeAutospacing="1" w:after="100" w:afterAutospacing="1" w:line="360" w:lineRule="auto"/>
        <w:rPr>
          <w:rFonts w:asciiTheme="minorHAnsi" w:hAnsiTheme="minorHAnsi" w:cs="Arial"/>
          <w:iCs/>
          <w:color w:val="000000"/>
          <w:sz w:val="22"/>
          <w:szCs w:val="22"/>
        </w:rPr>
      </w:pPr>
      <w:r w:rsidRPr="00910A1A">
        <w:rPr>
          <w:rFonts w:asciiTheme="minorHAnsi" w:hAnsiTheme="minorHAnsi" w:cs="Arial"/>
          <w:iCs/>
          <w:color w:val="000000"/>
          <w:sz w:val="22"/>
          <w:szCs w:val="22"/>
        </w:rPr>
        <w:t xml:space="preserve">a postponement which is occasioned by the ordering by the court of separate trials in case of two or more accused persons, or two or more charges; or  </w:t>
      </w:r>
    </w:p>
    <w:p w:rsidR="003612DE" w:rsidRPr="00910A1A" w:rsidRDefault="003612DE" w:rsidP="005B5E1D">
      <w:pPr>
        <w:numPr>
          <w:ilvl w:val="1"/>
          <w:numId w:val="2"/>
        </w:numPr>
        <w:spacing w:before="100" w:beforeAutospacing="1" w:after="100" w:afterAutospacing="1" w:line="360" w:lineRule="auto"/>
        <w:rPr>
          <w:rFonts w:asciiTheme="minorHAnsi" w:hAnsiTheme="minorHAnsi" w:cs="Arial"/>
          <w:iCs/>
          <w:color w:val="000000"/>
          <w:sz w:val="22"/>
          <w:szCs w:val="22"/>
        </w:rPr>
      </w:pPr>
      <w:r w:rsidRPr="00910A1A">
        <w:rPr>
          <w:rFonts w:asciiTheme="minorHAnsi" w:hAnsiTheme="minorHAnsi" w:cs="Arial"/>
          <w:iCs/>
          <w:color w:val="000000"/>
          <w:sz w:val="22"/>
          <w:szCs w:val="22"/>
        </w:rPr>
        <w:t xml:space="preserve">some other good and sufficient cause;  </w:t>
      </w:r>
    </w:p>
    <w:p w:rsidR="008150C4" w:rsidRPr="00910A1A" w:rsidRDefault="008150C4" w:rsidP="005B5E1D">
      <w:pPr>
        <w:spacing w:before="100" w:beforeAutospacing="1" w:after="100" w:afterAutospacing="1" w:line="360" w:lineRule="auto"/>
        <w:rPr>
          <w:rFonts w:asciiTheme="minorHAnsi" w:hAnsiTheme="minorHAnsi" w:cs="Arial"/>
          <w:iCs/>
          <w:color w:val="000000"/>
          <w:sz w:val="22"/>
          <w:szCs w:val="22"/>
        </w:rPr>
      </w:pPr>
      <w:r w:rsidRPr="00910A1A">
        <w:rPr>
          <w:rFonts w:asciiTheme="minorHAnsi" w:hAnsiTheme="minorHAnsi" w:cs="Arial"/>
          <w:b/>
          <w:iCs/>
          <w:color w:val="000000"/>
          <w:sz w:val="22"/>
          <w:szCs w:val="22"/>
        </w:rPr>
        <w:t>AND</w:t>
      </w:r>
      <w:r w:rsidR="003612DE" w:rsidRPr="00910A1A">
        <w:rPr>
          <w:rFonts w:asciiTheme="minorHAnsi" w:hAnsiTheme="minorHAnsi" w:cs="Arial"/>
          <w:iCs/>
          <w:color w:val="000000"/>
          <w:sz w:val="22"/>
          <w:szCs w:val="22"/>
        </w:rPr>
        <w:t xml:space="preserve"> (in respect of any of the foregoing) the prosecution has acted with all due diligence and expedition. </w:t>
      </w:r>
    </w:p>
    <w:p w:rsidR="005035A0" w:rsidRPr="005035A0" w:rsidRDefault="005035A0" w:rsidP="008150C4">
      <w:pPr>
        <w:spacing w:line="360" w:lineRule="auto"/>
        <w:rPr>
          <w:rFonts w:asciiTheme="minorHAnsi" w:hAnsiTheme="minorHAnsi" w:cs="Arial"/>
          <w:iCs/>
          <w:kern w:val="32"/>
          <w:sz w:val="22"/>
          <w:szCs w:val="22"/>
          <w:u w:val="single"/>
        </w:rPr>
      </w:pPr>
      <w:r>
        <w:rPr>
          <w:rFonts w:asciiTheme="minorHAnsi" w:hAnsiTheme="minorHAnsi" w:cs="Arial"/>
          <w:iCs/>
          <w:kern w:val="32"/>
          <w:sz w:val="22"/>
          <w:szCs w:val="22"/>
          <w:u w:val="single"/>
        </w:rPr>
        <w:t xml:space="preserve">GOOD AND SUFFICIENT CAUSE </w:t>
      </w:r>
    </w:p>
    <w:p w:rsidR="005035A0" w:rsidRDefault="005035A0" w:rsidP="008150C4">
      <w:pPr>
        <w:spacing w:line="360" w:lineRule="auto"/>
        <w:rPr>
          <w:rFonts w:asciiTheme="minorHAnsi" w:hAnsiTheme="minorHAnsi" w:cs="Arial"/>
          <w:iCs/>
          <w:kern w:val="32"/>
          <w:sz w:val="22"/>
          <w:szCs w:val="22"/>
        </w:rPr>
      </w:pPr>
    </w:p>
    <w:p w:rsidR="008150C4" w:rsidRDefault="008150C4" w:rsidP="008150C4">
      <w:pPr>
        <w:spacing w:line="360" w:lineRule="auto"/>
        <w:rPr>
          <w:rFonts w:asciiTheme="minorHAnsi" w:hAnsiTheme="minorHAnsi" w:cs="Arial"/>
          <w:iCs/>
          <w:kern w:val="32"/>
          <w:sz w:val="22"/>
          <w:szCs w:val="22"/>
        </w:rPr>
      </w:pPr>
      <w:r w:rsidRPr="00910A1A">
        <w:rPr>
          <w:rFonts w:asciiTheme="minorHAnsi" w:hAnsiTheme="minorHAnsi" w:cs="Arial"/>
          <w:iCs/>
          <w:kern w:val="32"/>
          <w:sz w:val="22"/>
          <w:szCs w:val="22"/>
        </w:rPr>
        <w:t>Whether there is good and sufficient cause as set out in 1, 2 or 3 above will have to be determined at court.   </w:t>
      </w:r>
    </w:p>
    <w:p w:rsidR="005035A0" w:rsidRPr="00910A1A" w:rsidRDefault="005035A0" w:rsidP="008150C4">
      <w:pPr>
        <w:spacing w:line="360" w:lineRule="auto"/>
        <w:rPr>
          <w:rFonts w:asciiTheme="minorHAnsi" w:hAnsiTheme="minorHAnsi" w:cs="Arial"/>
          <w:iCs/>
          <w:color w:val="000000"/>
          <w:kern w:val="32"/>
          <w:sz w:val="22"/>
          <w:szCs w:val="22"/>
        </w:rPr>
      </w:pPr>
    </w:p>
    <w:p w:rsidR="005035A0" w:rsidRPr="005035A0" w:rsidRDefault="005035A0" w:rsidP="005035A0">
      <w:pPr>
        <w:spacing w:line="360" w:lineRule="auto"/>
        <w:jc w:val="both"/>
        <w:rPr>
          <w:rFonts w:asciiTheme="minorHAnsi" w:eastAsiaTheme="minorHAnsi" w:hAnsiTheme="minorHAnsi" w:cstheme="minorBidi"/>
          <w:sz w:val="22"/>
          <w:szCs w:val="22"/>
          <w:lang w:eastAsia="en-US"/>
        </w:rPr>
      </w:pPr>
      <w:r w:rsidRPr="005035A0">
        <w:rPr>
          <w:rFonts w:ascii="Calibri" w:eastAsia="Calibri" w:hAnsi="Calibri"/>
          <w:sz w:val="22"/>
          <w:szCs w:val="22"/>
          <w:lang w:eastAsia="en-US"/>
        </w:rPr>
        <w:t xml:space="preserve">“What amounts to good and sufficient cause to extend a custody time limit is a matter for the court on the facts of the case.” </w:t>
      </w:r>
      <w:r w:rsidRPr="005035A0">
        <w:rPr>
          <w:rFonts w:asciiTheme="minorHAnsi" w:eastAsiaTheme="minorHAnsi" w:hAnsiTheme="minorHAnsi" w:cstheme="minorBidi"/>
          <w:sz w:val="22"/>
          <w:szCs w:val="22"/>
          <w:lang w:eastAsia="en-US"/>
        </w:rPr>
        <w:t>There are an almost infinite variety of matters which may, depending on the facts of a particular case, be capable of amounting to a good and sufficient cause (</w:t>
      </w:r>
      <w:hyperlink r:id="rId11" w:tooltip="Link to case report on Westlaw" w:history="1">
        <w:r w:rsidRPr="005035A0">
          <w:rPr>
            <w:rFonts w:asciiTheme="minorHAnsi" w:eastAsiaTheme="minorHAnsi" w:hAnsiTheme="minorHAnsi" w:cstheme="minorBidi"/>
            <w:i/>
            <w:color w:val="0000FF"/>
            <w:sz w:val="22"/>
            <w:szCs w:val="22"/>
            <w:u w:val="single"/>
            <w:lang w:eastAsia="en-US"/>
          </w:rPr>
          <w:t>R v Manchester Crown Court ex parte McDonald [1999] 1 Cr. App. R. 409</w:t>
        </w:r>
      </w:hyperlink>
      <w:r w:rsidRPr="005035A0">
        <w:rPr>
          <w:rFonts w:asciiTheme="minorHAnsi" w:eastAsiaTheme="minorHAnsi" w:hAnsiTheme="minorHAnsi" w:cstheme="minorBidi"/>
          <w:sz w:val="22"/>
          <w:szCs w:val="22"/>
          <w:lang w:eastAsia="en-US"/>
        </w:rPr>
        <w:t>)</w:t>
      </w:r>
      <w:r w:rsidRPr="005035A0">
        <w:rPr>
          <w:rFonts w:asciiTheme="minorHAnsi" w:eastAsiaTheme="minorHAnsi" w:hAnsiTheme="minorHAnsi" w:cstheme="minorBidi"/>
          <w:i/>
          <w:sz w:val="22"/>
          <w:szCs w:val="22"/>
          <w:lang w:eastAsia="en-US"/>
        </w:rPr>
        <w:t>.</w:t>
      </w:r>
    </w:p>
    <w:p w:rsidR="00636194" w:rsidRPr="005035A0" w:rsidRDefault="008150C4" w:rsidP="005B5E1D">
      <w:pPr>
        <w:pStyle w:val="NormalWeb"/>
        <w:spacing w:line="360" w:lineRule="auto"/>
        <w:rPr>
          <w:rFonts w:asciiTheme="minorHAnsi" w:hAnsiTheme="minorHAnsi" w:cs="Arial"/>
          <w:color w:val="FF0000"/>
          <w:sz w:val="22"/>
          <w:szCs w:val="22"/>
        </w:rPr>
      </w:pPr>
      <w:r w:rsidRPr="00910A1A">
        <w:rPr>
          <w:rFonts w:asciiTheme="minorHAnsi" w:hAnsiTheme="minorHAnsi" w:cs="Arial"/>
          <w:sz w:val="22"/>
          <w:szCs w:val="22"/>
        </w:rPr>
        <w:t>This ca</w:t>
      </w:r>
      <w:r w:rsidR="005035A0">
        <w:rPr>
          <w:rFonts w:asciiTheme="minorHAnsi" w:hAnsiTheme="minorHAnsi" w:cs="Arial"/>
          <w:sz w:val="22"/>
          <w:szCs w:val="22"/>
        </w:rPr>
        <w:t xml:space="preserve">se is currently listed for trial on </w:t>
      </w:r>
      <w:r w:rsidR="005035A0">
        <w:rPr>
          <w:rFonts w:asciiTheme="minorHAnsi" w:hAnsiTheme="minorHAnsi" w:cs="Arial"/>
          <w:color w:val="FF0000"/>
          <w:sz w:val="22"/>
          <w:szCs w:val="22"/>
        </w:rPr>
        <w:t>XXX.</w:t>
      </w:r>
    </w:p>
    <w:p w:rsidR="005035A0" w:rsidRPr="005035A0" w:rsidRDefault="005035A0" w:rsidP="005035A0">
      <w:pPr>
        <w:spacing w:line="360" w:lineRule="auto"/>
        <w:jc w:val="both"/>
        <w:rPr>
          <w:rFonts w:asciiTheme="minorHAnsi" w:eastAsiaTheme="minorHAnsi" w:hAnsiTheme="minorHAnsi" w:cstheme="minorBidi"/>
          <w:sz w:val="22"/>
          <w:szCs w:val="22"/>
          <w:lang w:eastAsia="en-US"/>
        </w:rPr>
      </w:pPr>
      <w:r w:rsidRPr="005035A0">
        <w:rPr>
          <w:rFonts w:asciiTheme="minorHAnsi" w:eastAsiaTheme="minorHAnsi" w:hAnsiTheme="minorHAnsi" w:cstheme="minorBidi"/>
          <w:sz w:val="22"/>
          <w:szCs w:val="22"/>
          <w:lang w:eastAsia="en-US"/>
        </w:rPr>
        <w:t>The current public health situation arising from the coronavirus pandemic will necessitate the adjournment of the trial in this matter, in accordance with guidance issued by the Lord Chief Justice on 17 March 2020 (</w:t>
      </w:r>
      <w:hyperlink r:id="rId12" w:history="1">
        <w:r w:rsidRPr="005035A0">
          <w:rPr>
            <w:rFonts w:asciiTheme="minorHAnsi" w:eastAsiaTheme="minorHAnsi" w:hAnsiTheme="minorHAnsi" w:cstheme="minorBidi"/>
            <w:color w:val="0000FF"/>
            <w:sz w:val="22"/>
            <w:szCs w:val="22"/>
            <w:u w:val="single"/>
            <w:lang w:eastAsia="en-US"/>
          </w:rPr>
          <w:t>https://www.judiciary.uk/announcements/coronavirus-jury-trials-message-from-the-lord-chief-justice</w:t>
        </w:r>
      </w:hyperlink>
      <w:r w:rsidRPr="005035A0">
        <w:rPr>
          <w:rFonts w:asciiTheme="minorHAnsi" w:eastAsiaTheme="minorHAnsi" w:hAnsiTheme="minorHAnsi" w:cstheme="minorBidi"/>
          <w:sz w:val="22"/>
          <w:szCs w:val="22"/>
          <w:lang w:eastAsia="en-US"/>
        </w:rPr>
        <w:t xml:space="preserve">). </w:t>
      </w:r>
    </w:p>
    <w:p w:rsidR="005035A0" w:rsidRPr="005035A0" w:rsidRDefault="005035A0" w:rsidP="005035A0">
      <w:pPr>
        <w:spacing w:line="360" w:lineRule="auto"/>
        <w:jc w:val="both"/>
        <w:rPr>
          <w:rFonts w:asciiTheme="minorHAnsi" w:eastAsiaTheme="minorHAnsi" w:hAnsiTheme="minorHAnsi" w:cstheme="minorBidi"/>
          <w:sz w:val="22"/>
          <w:szCs w:val="22"/>
          <w:lang w:eastAsia="en-US"/>
        </w:rPr>
      </w:pPr>
    </w:p>
    <w:p w:rsidR="005035A0" w:rsidRPr="005035A0" w:rsidRDefault="005035A0" w:rsidP="005035A0">
      <w:pPr>
        <w:spacing w:line="360" w:lineRule="auto"/>
        <w:rPr>
          <w:rFonts w:asciiTheme="minorHAnsi" w:eastAsiaTheme="minorHAnsi" w:hAnsiTheme="minorHAnsi" w:cs="Segoe UI"/>
          <w:color w:val="444444"/>
          <w:sz w:val="22"/>
          <w:szCs w:val="22"/>
          <w:lang w:eastAsia="en-US"/>
        </w:rPr>
      </w:pPr>
      <w:r w:rsidRPr="005035A0">
        <w:rPr>
          <w:rFonts w:asciiTheme="minorHAnsi" w:eastAsiaTheme="minorHAnsi" w:hAnsiTheme="minorHAnsi" w:cstheme="minorBidi"/>
          <w:sz w:val="22"/>
          <w:szCs w:val="22"/>
          <w:lang w:eastAsia="en-US"/>
        </w:rPr>
        <w:t xml:space="preserve">In </w:t>
      </w:r>
      <w:hyperlink r:id="rId13" w:tgtFrame="_blank" w:tooltip="Link to the official transcript" w:history="1">
        <w:r w:rsidRPr="005035A0">
          <w:rPr>
            <w:rFonts w:asciiTheme="minorHAnsi" w:eastAsiaTheme="minorHAnsi" w:hAnsiTheme="minorHAnsi" w:cs="Segoe UI"/>
            <w:i/>
            <w:color w:val="0000FF"/>
            <w:sz w:val="22"/>
            <w:szCs w:val="22"/>
            <w:u w:val="single"/>
            <w:lang w:eastAsia="en-US"/>
          </w:rPr>
          <w:t>Kalonji v Wood Green Crown Court [2008] A.C.D. 11</w:t>
        </w:r>
      </w:hyperlink>
      <w:r w:rsidRPr="005035A0">
        <w:rPr>
          <w:rFonts w:asciiTheme="minorHAnsi" w:eastAsiaTheme="minorHAnsi" w:hAnsiTheme="minorHAnsi" w:cs="Segoe UI"/>
          <w:i/>
          <w:color w:val="444444"/>
          <w:sz w:val="22"/>
          <w:szCs w:val="22"/>
          <w:lang w:eastAsia="en-US"/>
        </w:rPr>
        <w:t>.</w:t>
      </w:r>
      <w:r w:rsidRPr="005035A0">
        <w:rPr>
          <w:rFonts w:asciiTheme="minorHAnsi" w:eastAsiaTheme="minorHAnsi" w:hAnsiTheme="minorHAnsi" w:cs="Segoe UI"/>
          <w:color w:val="444444"/>
          <w:sz w:val="22"/>
          <w:szCs w:val="22"/>
          <w:lang w:eastAsia="en-US"/>
        </w:rPr>
        <w:t xml:space="preserve"> The court found that </w:t>
      </w:r>
      <w:r w:rsidRPr="005035A0">
        <w:rPr>
          <w:rFonts w:asciiTheme="minorHAnsi" w:eastAsiaTheme="minorHAnsi" w:hAnsiTheme="minorHAnsi" w:cstheme="minorBidi"/>
          <w:color w:val="212121"/>
          <w:sz w:val="22"/>
          <w:szCs w:val="22"/>
          <w:lang w:eastAsia="en-US"/>
        </w:rPr>
        <w:t>exceptional circumstances due to the pressures on the court were capable of being good and sufficient reason for an extension. Where there are real pressures on a court which have been created by exceptional circumstances the court should examine what the reason is and the proposed solution to it and come to a judgment as to whether or not it can properly be said that the reason is one which is exceptional, on the one hand, and the steps that are proposed to alleviate it appear to have a prospect of success on the other.</w:t>
      </w:r>
    </w:p>
    <w:p w:rsidR="005035A0" w:rsidRPr="005035A0" w:rsidRDefault="005035A0" w:rsidP="005035A0">
      <w:pPr>
        <w:rPr>
          <w:rFonts w:ascii="Segoe UI" w:eastAsiaTheme="minorHAnsi" w:hAnsi="Segoe UI" w:cs="Segoe UI"/>
          <w:color w:val="444444"/>
          <w:sz w:val="20"/>
          <w:szCs w:val="20"/>
          <w:lang w:eastAsia="en-US"/>
        </w:rPr>
      </w:pPr>
    </w:p>
    <w:p w:rsidR="005035A0" w:rsidRPr="005035A0" w:rsidRDefault="005035A0" w:rsidP="005035A0">
      <w:pPr>
        <w:rPr>
          <w:rFonts w:asciiTheme="minorHAnsi" w:eastAsiaTheme="minorHAnsi" w:hAnsiTheme="minorHAnsi" w:cstheme="minorBidi"/>
          <w:sz w:val="22"/>
          <w:szCs w:val="22"/>
          <w:lang w:eastAsia="en-US"/>
        </w:rPr>
      </w:pPr>
    </w:p>
    <w:p w:rsidR="005035A0" w:rsidRPr="005035A0" w:rsidRDefault="005035A0" w:rsidP="005035A0">
      <w:pPr>
        <w:spacing w:line="360" w:lineRule="auto"/>
        <w:rPr>
          <w:rFonts w:asciiTheme="minorHAnsi" w:eastAsiaTheme="minorHAnsi" w:hAnsiTheme="minorHAnsi" w:cstheme="minorBidi"/>
          <w:sz w:val="22"/>
          <w:szCs w:val="22"/>
          <w:lang w:eastAsia="en-US"/>
        </w:rPr>
      </w:pPr>
      <w:r w:rsidRPr="005035A0">
        <w:rPr>
          <w:rFonts w:asciiTheme="minorHAnsi" w:eastAsiaTheme="minorHAnsi" w:hAnsiTheme="minorHAnsi" w:cstheme="minorBidi"/>
          <w:sz w:val="22"/>
          <w:szCs w:val="22"/>
          <w:lang w:eastAsia="en-US"/>
        </w:rPr>
        <w:t xml:space="preserve">The prosecution submits that the coronavirus pandemic is an exceptional situation which amounts to a good and sufficient cause to extend the custody time limit. The steps taken to address the situation are mandated by the Lord Chief Justice and are in accordance with government public health advice. </w:t>
      </w:r>
    </w:p>
    <w:p w:rsidR="005035A0" w:rsidRPr="005035A0" w:rsidRDefault="005035A0" w:rsidP="005035A0">
      <w:pPr>
        <w:spacing w:line="360" w:lineRule="auto"/>
        <w:rPr>
          <w:rFonts w:ascii="Calibri" w:eastAsiaTheme="minorHAnsi" w:hAnsi="Calibri"/>
          <w:iCs/>
          <w:color w:val="0D0D0D"/>
          <w:sz w:val="22"/>
          <w:szCs w:val="22"/>
          <w:lang w:eastAsia="en-US"/>
        </w:rPr>
      </w:pPr>
    </w:p>
    <w:p w:rsidR="00B717B4" w:rsidRDefault="00B717B4" w:rsidP="00B717B4">
      <w:pPr>
        <w:spacing w:line="360" w:lineRule="auto"/>
        <w:rPr>
          <w:rFonts w:asciiTheme="minorHAnsi" w:hAnsiTheme="minorHAnsi" w:cs="Arial"/>
          <w:iCs/>
          <w:kern w:val="32"/>
          <w:sz w:val="22"/>
          <w:szCs w:val="22"/>
        </w:rPr>
      </w:pPr>
      <w:r w:rsidRPr="00910A1A">
        <w:rPr>
          <w:rFonts w:asciiTheme="minorHAnsi" w:hAnsiTheme="minorHAnsi" w:cs="Arial"/>
          <w:iCs/>
          <w:kern w:val="32"/>
          <w:sz w:val="22"/>
          <w:szCs w:val="22"/>
        </w:rPr>
        <w:t>This application is also submitted to demonstrate, on the bal</w:t>
      </w:r>
      <w:r w:rsidR="005035A0">
        <w:rPr>
          <w:rFonts w:asciiTheme="minorHAnsi" w:hAnsiTheme="minorHAnsi" w:cs="Arial"/>
          <w:iCs/>
          <w:kern w:val="32"/>
          <w:sz w:val="22"/>
          <w:szCs w:val="22"/>
        </w:rPr>
        <w:t>ance of probabilities that the P</w:t>
      </w:r>
      <w:r w:rsidRPr="00910A1A">
        <w:rPr>
          <w:rFonts w:asciiTheme="minorHAnsi" w:hAnsiTheme="minorHAnsi" w:cs="Arial"/>
          <w:iCs/>
          <w:kern w:val="32"/>
          <w:sz w:val="22"/>
          <w:szCs w:val="22"/>
        </w:rPr>
        <w:t xml:space="preserve">rosecution has acted with all due diligence and expedition. </w:t>
      </w:r>
    </w:p>
    <w:p w:rsidR="005035A0" w:rsidRDefault="005035A0" w:rsidP="00B717B4">
      <w:pPr>
        <w:spacing w:line="360" w:lineRule="auto"/>
        <w:rPr>
          <w:rFonts w:asciiTheme="minorHAnsi" w:hAnsiTheme="minorHAnsi" w:cs="Arial"/>
          <w:iCs/>
          <w:kern w:val="32"/>
          <w:sz w:val="22"/>
          <w:szCs w:val="22"/>
        </w:rPr>
      </w:pPr>
    </w:p>
    <w:p w:rsidR="003839F8" w:rsidRDefault="003839F8" w:rsidP="00B717B4">
      <w:pPr>
        <w:spacing w:line="360" w:lineRule="auto"/>
        <w:rPr>
          <w:rFonts w:asciiTheme="minorHAnsi" w:hAnsiTheme="minorHAnsi" w:cs="Arial"/>
          <w:iCs/>
          <w:kern w:val="32"/>
          <w:sz w:val="22"/>
          <w:szCs w:val="22"/>
          <w:u w:val="single"/>
        </w:rPr>
      </w:pPr>
    </w:p>
    <w:p w:rsidR="003839F8" w:rsidRDefault="003839F8" w:rsidP="00B717B4">
      <w:pPr>
        <w:spacing w:line="360" w:lineRule="auto"/>
        <w:rPr>
          <w:rFonts w:asciiTheme="minorHAnsi" w:hAnsiTheme="minorHAnsi" w:cs="Arial"/>
          <w:iCs/>
          <w:kern w:val="32"/>
          <w:sz w:val="22"/>
          <w:szCs w:val="22"/>
          <w:u w:val="single"/>
        </w:rPr>
      </w:pPr>
    </w:p>
    <w:p w:rsidR="003839F8" w:rsidRDefault="003839F8" w:rsidP="00B717B4">
      <w:pPr>
        <w:spacing w:line="360" w:lineRule="auto"/>
        <w:rPr>
          <w:rFonts w:asciiTheme="minorHAnsi" w:hAnsiTheme="minorHAnsi" w:cs="Arial"/>
          <w:iCs/>
          <w:kern w:val="32"/>
          <w:sz w:val="22"/>
          <w:szCs w:val="22"/>
          <w:u w:val="single"/>
        </w:rPr>
      </w:pPr>
    </w:p>
    <w:p w:rsidR="003839F8" w:rsidRDefault="003839F8" w:rsidP="00B717B4">
      <w:pPr>
        <w:spacing w:line="360" w:lineRule="auto"/>
        <w:rPr>
          <w:rFonts w:asciiTheme="minorHAnsi" w:hAnsiTheme="minorHAnsi" w:cs="Arial"/>
          <w:iCs/>
          <w:kern w:val="32"/>
          <w:sz w:val="22"/>
          <w:szCs w:val="22"/>
          <w:u w:val="single"/>
        </w:rPr>
      </w:pPr>
    </w:p>
    <w:p w:rsidR="005035A0" w:rsidRPr="005035A0" w:rsidRDefault="005035A0" w:rsidP="00B717B4">
      <w:pPr>
        <w:spacing w:line="360" w:lineRule="auto"/>
        <w:rPr>
          <w:rFonts w:asciiTheme="minorHAnsi" w:hAnsiTheme="minorHAnsi" w:cs="Arial"/>
          <w:iCs/>
          <w:kern w:val="32"/>
          <w:sz w:val="22"/>
          <w:szCs w:val="22"/>
          <w:u w:val="single"/>
        </w:rPr>
      </w:pPr>
      <w:r>
        <w:rPr>
          <w:rFonts w:asciiTheme="minorHAnsi" w:hAnsiTheme="minorHAnsi" w:cs="Arial"/>
          <w:iCs/>
          <w:kern w:val="32"/>
          <w:sz w:val="22"/>
          <w:szCs w:val="22"/>
          <w:u w:val="single"/>
        </w:rPr>
        <w:t>DUE DILIGENCE AND EXPEDITION</w:t>
      </w:r>
    </w:p>
    <w:p w:rsidR="004C2518" w:rsidRDefault="004C2518" w:rsidP="004C2518">
      <w:pPr>
        <w:spacing w:line="360" w:lineRule="auto"/>
        <w:rPr>
          <w:rFonts w:ascii="Calibri" w:eastAsiaTheme="minorHAnsi" w:hAnsi="Calibri"/>
          <w:iCs/>
          <w:color w:val="0D0D0D"/>
          <w:sz w:val="22"/>
          <w:szCs w:val="22"/>
          <w:lang w:eastAsia="en-US"/>
        </w:rPr>
      </w:pPr>
    </w:p>
    <w:p w:rsidR="004C2518" w:rsidRPr="004C2518" w:rsidRDefault="004C2518" w:rsidP="004C2518">
      <w:pPr>
        <w:spacing w:line="360" w:lineRule="auto"/>
        <w:rPr>
          <w:rFonts w:ascii="Calibri" w:eastAsiaTheme="minorHAnsi" w:hAnsi="Calibri"/>
          <w:iCs/>
          <w:color w:val="0D0D0D"/>
          <w:sz w:val="22"/>
          <w:szCs w:val="22"/>
          <w:lang w:eastAsia="en-US"/>
        </w:rPr>
      </w:pPr>
      <w:r w:rsidRPr="004C2518">
        <w:rPr>
          <w:rFonts w:ascii="Calibri" w:eastAsiaTheme="minorHAnsi" w:hAnsi="Calibri"/>
          <w:iCs/>
          <w:color w:val="0D0D0D"/>
          <w:sz w:val="22"/>
          <w:szCs w:val="22"/>
          <w:lang w:eastAsia="en-US"/>
        </w:rPr>
        <w:t>The prosecution makes the following submissions in respect of due diligence and expedition (noting that the prosecution has to satisfy this burden on the balance of probabilities):</w:t>
      </w:r>
    </w:p>
    <w:p w:rsidR="004C2518" w:rsidRPr="004C2518" w:rsidRDefault="004C2518" w:rsidP="004C2518">
      <w:pPr>
        <w:spacing w:line="360" w:lineRule="auto"/>
        <w:rPr>
          <w:rFonts w:ascii="Calibri" w:eastAsiaTheme="minorHAnsi" w:hAnsi="Calibri"/>
          <w:iCs/>
          <w:color w:val="0D0D0D"/>
          <w:sz w:val="22"/>
          <w:szCs w:val="22"/>
          <w:lang w:eastAsia="en-US"/>
        </w:rPr>
      </w:pPr>
    </w:p>
    <w:p w:rsidR="004C2518" w:rsidRPr="004C2518" w:rsidRDefault="004C2518" w:rsidP="004C2518">
      <w:pPr>
        <w:spacing w:line="360" w:lineRule="auto"/>
        <w:rPr>
          <w:rFonts w:ascii="Calibri" w:eastAsia="Calibri" w:hAnsi="Calibri"/>
          <w:iCs/>
          <w:sz w:val="22"/>
          <w:szCs w:val="22"/>
          <w:lang w:eastAsia="en-US"/>
        </w:rPr>
      </w:pPr>
      <w:r w:rsidRPr="004C2518">
        <w:rPr>
          <w:rFonts w:ascii="Calibri" w:eastAsia="Calibri" w:hAnsi="Calibri"/>
          <w:iCs/>
          <w:sz w:val="22"/>
          <w:szCs w:val="22"/>
          <w:lang w:eastAsia="en-US"/>
        </w:rPr>
        <w:t>The prosecution submits that the two tests of good and sufficient cause and all due diligence and expedition are linked (</w:t>
      </w:r>
      <w:r w:rsidRPr="004C2518">
        <w:rPr>
          <w:rFonts w:ascii="Calibri" w:eastAsia="Calibri" w:hAnsi="Calibri"/>
          <w:i/>
          <w:iCs/>
          <w:sz w:val="22"/>
          <w:szCs w:val="22"/>
          <w:lang w:eastAsia="en-US"/>
        </w:rPr>
        <w:t>R v Leeds Crown Court ex parte Bagoutie</w:t>
      </w:r>
      <w:r w:rsidRPr="004C2518">
        <w:rPr>
          <w:rFonts w:ascii="Calibri" w:eastAsia="Calibri" w:hAnsi="Calibri"/>
          <w:iCs/>
          <w:sz w:val="22"/>
          <w:szCs w:val="22"/>
          <w:lang w:eastAsia="en-US"/>
        </w:rPr>
        <w:t xml:space="preserve"> TLR 31 May 1999). If the court is satisfied that there is good and sufficient cause to extend the custody time limit but is not satisfied that the prosecution has acted with all due diligence and expedition, it is not obliged to refuse the application to extend if it concludes that the failure of the prosecution has neither caused nor contributed to the need for the extension. </w:t>
      </w:r>
    </w:p>
    <w:p w:rsidR="004C2518" w:rsidRPr="004C2518" w:rsidRDefault="004C2518" w:rsidP="004C2518">
      <w:pPr>
        <w:spacing w:line="360" w:lineRule="auto"/>
        <w:rPr>
          <w:rFonts w:ascii="Calibri" w:eastAsia="Calibri" w:hAnsi="Calibri"/>
          <w:iCs/>
          <w:sz w:val="22"/>
          <w:szCs w:val="22"/>
          <w:lang w:eastAsia="en-US"/>
        </w:rPr>
      </w:pPr>
    </w:p>
    <w:p w:rsidR="004C2518" w:rsidRPr="004C2518" w:rsidRDefault="004C2518" w:rsidP="004C2518">
      <w:pPr>
        <w:spacing w:line="360" w:lineRule="auto"/>
        <w:rPr>
          <w:rFonts w:ascii="Calibri" w:eastAsia="Calibri" w:hAnsi="Calibri"/>
          <w:iCs/>
          <w:sz w:val="22"/>
          <w:szCs w:val="22"/>
          <w:lang w:eastAsia="en-US"/>
        </w:rPr>
      </w:pPr>
      <w:r w:rsidRPr="004C2518">
        <w:rPr>
          <w:rFonts w:ascii="Calibri" w:eastAsia="Calibri" w:hAnsi="Calibri"/>
          <w:iCs/>
          <w:sz w:val="22"/>
          <w:szCs w:val="22"/>
          <w:lang w:eastAsia="en-US"/>
        </w:rPr>
        <w:t xml:space="preserve">An adjournment for public health reasons is fundamentally separate from the actions of the prosecution and it is submitted that diligence and expedition at earlier stages of the case should be disregarded. The prosecution has acted diligently and expeditiously in making this application. The judge may properly extend a custody time limit even where the prosecution had not acted with all due diligence, if the prosecution’s failure is not itself a cause for the required extension </w:t>
      </w:r>
      <w:r w:rsidRPr="004C2518">
        <w:rPr>
          <w:rFonts w:ascii="Calibri" w:eastAsia="Calibri" w:hAnsi="Calibri"/>
          <w:i/>
          <w:iCs/>
          <w:sz w:val="22"/>
          <w:szCs w:val="22"/>
          <w:lang w:eastAsia="en-US"/>
        </w:rPr>
        <w:t>(R (Gibson) v Winchester Crown Court</w:t>
      </w:r>
      <w:r w:rsidRPr="004C2518">
        <w:rPr>
          <w:rFonts w:ascii="Calibri" w:eastAsia="Calibri" w:hAnsi="Calibri"/>
          <w:iCs/>
          <w:sz w:val="22"/>
          <w:szCs w:val="22"/>
          <w:lang w:eastAsia="en-US"/>
        </w:rPr>
        <w:t xml:space="preserve"> [2004] 1 WLR 1623).</w:t>
      </w:r>
    </w:p>
    <w:p w:rsidR="005035A0" w:rsidRDefault="005035A0" w:rsidP="00B717B4">
      <w:pPr>
        <w:spacing w:line="360" w:lineRule="auto"/>
        <w:rPr>
          <w:rFonts w:asciiTheme="minorHAnsi" w:hAnsiTheme="minorHAnsi" w:cs="Arial"/>
          <w:iCs/>
          <w:kern w:val="32"/>
          <w:sz w:val="22"/>
          <w:szCs w:val="22"/>
        </w:rPr>
      </w:pPr>
    </w:p>
    <w:p w:rsidR="005035A0" w:rsidRDefault="004C2518" w:rsidP="00B717B4">
      <w:pPr>
        <w:spacing w:line="360" w:lineRule="auto"/>
        <w:rPr>
          <w:rFonts w:asciiTheme="minorHAnsi" w:hAnsiTheme="minorHAnsi" w:cs="Arial"/>
          <w:iCs/>
          <w:color w:val="FF0000"/>
          <w:kern w:val="32"/>
          <w:sz w:val="22"/>
          <w:szCs w:val="22"/>
        </w:rPr>
      </w:pPr>
      <w:r>
        <w:rPr>
          <w:rFonts w:asciiTheme="minorHAnsi" w:hAnsiTheme="minorHAnsi" w:cs="Arial"/>
          <w:iCs/>
          <w:color w:val="FF0000"/>
          <w:kern w:val="32"/>
          <w:sz w:val="22"/>
          <w:szCs w:val="22"/>
        </w:rPr>
        <w:t xml:space="preserve">The Prosecution is Trial Ready </w:t>
      </w:r>
    </w:p>
    <w:p w:rsidR="004C2518" w:rsidRDefault="004C2518" w:rsidP="00B717B4">
      <w:pPr>
        <w:spacing w:line="360" w:lineRule="auto"/>
        <w:rPr>
          <w:rFonts w:asciiTheme="minorHAnsi" w:hAnsiTheme="minorHAnsi" w:cs="Arial"/>
          <w:iCs/>
          <w:color w:val="FF0000"/>
          <w:kern w:val="32"/>
          <w:sz w:val="22"/>
          <w:szCs w:val="22"/>
        </w:rPr>
      </w:pPr>
    </w:p>
    <w:p w:rsidR="004C2518" w:rsidRPr="00F61F2D" w:rsidRDefault="004C2518" w:rsidP="00B717B4">
      <w:pPr>
        <w:spacing w:line="360" w:lineRule="auto"/>
        <w:rPr>
          <w:rFonts w:asciiTheme="minorHAnsi" w:hAnsiTheme="minorHAnsi" w:cs="Arial"/>
          <w:i/>
          <w:iCs/>
          <w:kern w:val="32"/>
          <w:sz w:val="22"/>
          <w:szCs w:val="22"/>
        </w:rPr>
      </w:pPr>
      <w:r w:rsidRPr="00F61F2D">
        <w:rPr>
          <w:rFonts w:asciiTheme="minorHAnsi" w:hAnsiTheme="minorHAnsi" w:cs="Arial"/>
          <w:i/>
          <w:iCs/>
          <w:kern w:val="32"/>
          <w:sz w:val="22"/>
          <w:szCs w:val="22"/>
        </w:rPr>
        <w:t>Or (if there are genuine concerns re due diligence and expedition</w:t>
      </w:r>
      <w:r w:rsidR="00F61F2D" w:rsidRPr="00F61F2D">
        <w:rPr>
          <w:rFonts w:asciiTheme="minorHAnsi" w:hAnsiTheme="minorHAnsi" w:cs="Arial"/>
          <w:i/>
          <w:iCs/>
          <w:kern w:val="32"/>
          <w:sz w:val="22"/>
          <w:szCs w:val="22"/>
        </w:rPr>
        <w:t>)</w:t>
      </w:r>
    </w:p>
    <w:p w:rsidR="004C2518" w:rsidRDefault="004C2518" w:rsidP="00B717B4">
      <w:pPr>
        <w:spacing w:line="360" w:lineRule="auto"/>
        <w:rPr>
          <w:rFonts w:asciiTheme="minorHAnsi" w:hAnsiTheme="minorHAnsi" w:cs="Arial"/>
          <w:iCs/>
          <w:kern w:val="32"/>
          <w:sz w:val="22"/>
          <w:szCs w:val="22"/>
        </w:rPr>
      </w:pPr>
    </w:p>
    <w:p w:rsidR="004C2518" w:rsidRPr="004C2518" w:rsidRDefault="004C2518" w:rsidP="00B717B4">
      <w:pPr>
        <w:spacing w:line="360" w:lineRule="auto"/>
        <w:rPr>
          <w:rFonts w:asciiTheme="minorHAnsi" w:hAnsiTheme="minorHAnsi" w:cs="Arial"/>
          <w:bCs/>
          <w:color w:val="FF0000"/>
          <w:kern w:val="32"/>
          <w:sz w:val="22"/>
          <w:szCs w:val="22"/>
        </w:rPr>
      </w:pPr>
      <w:r>
        <w:rPr>
          <w:rFonts w:asciiTheme="minorHAnsi" w:hAnsiTheme="minorHAnsi" w:cs="Arial"/>
          <w:iCs/>
          <w:color w:val="FF0000"/>
          <w:kern w:val="32"/>
          <w:sz w:val="22"/>
          <w:szCs w:val="22"/>
        </w:rPr>
        <w:t>The Prosecution submits that it has acted with due diligence and expedition.</w:t>
      </w:r>
    </w:p>
    <w:p w:rsidR="004C2518" w:rsidRDefault="004C2518" w:rsidP="00B717B4">
      <w:pPr>
        <w:spacing w:line="360" w:lineRule="auto"/>
        <w:rPr>
          <w:rFonts w:asciiTheme="minorHAnsi" w:hAnsiTheme="minorHAnsi" w:cs="Arial"/>
          <w:bCs/>
          <w:kern w:val="32"/>
          <w:sz w:val="22"/>
          <w:szCs w:val="22"/>
        </w:rPr>
      </w:pPr>
    </w:p>
    <w:p w:rsidR="003612DE" w:rsidRDefault="00B717B4" w:rsidP="005B5E1D">
      <w:pPr>
        <w:spacing w:line="360" w:lineRule="auto"/>
        <w:rPr>
          <w:rFonts w:asciiTheme="minorHAnsi" w:hAnsiTheme="minorHAnsi" w:cs="Arial"/>
          <w:iCs/>
          <w:color w:val="FF0000"/>
          <w:kern w:val="32"/>
          <w:sz w:val="22"/>
          <w:szCs w:val="22"/>
        </w:rPr>
      </w:pPr>
      <w:r w:rsidRPr="004C2518">
        <w:rPr>
          <w:rFonts w:asciiTheme="minorHAnsi" w:hAnsiTheme="minorHAnsi" w:cs="Arial"/>
          <w:bCs/>
          <w:color w:val="FF0000"/>
          <w:kern w:val="32"/>
          <w:sz w:val="22"/>
          <w:szCs w:val="22"/>
        </w:rPr>
        <w:t>The following chronology illustrates this, and explains how issues arising have been dealt with</w:t>
      </w:r>
      <w:r w:rsidRPr="004C2518">
        <w:rPr>
          <w:rFonts w:asciiTheme="minorHAnsi" w:hAnsiTheme="minorHAnsi" w:cs="Arial"/>
          <w:b/>
          <w:bCs/>
          <w:color w:val="FF0000"/>
          <w:kern w:val="32"/>
          <w:sz w:val="22"/>
          <w:szCs w:val="22"/>
        </w:rPr>
        <w:t xml:space="preserve"> </w:t>
      </w:r>
      <w:r w:rsidRPr="004C2518">
        <w:rPr>
          <w:rFonts w:asciiTheme="minorHAnsi" w:hAnsiTheme="minorHAnsi" w:cs="Arial"/>
          <w:bCs/>
          <w:color w:val="FF0000"/>
          <w:kern w:val="32"/>
          <w:sz w:val="22"/>
          <w:szCs w:val="22"/>
        </w:rPr>
        <w:t>during the management of this case.</w:t>
      </w:r>
    </w:p>
    <w:p w:rsidR="004C2518" w:rsidRPr="004C2518" w:rsidRDefault="004C2518" w:rsidP="005B5E1D">
      <w:pPr>
        <w:spacing w:line="360" w:lineRule="auto"/>
        <w:rPr>
          <w:rFonts w:asciiTheme="minorHAnsi" w:hAnsiTheme="minorHAnsi" w:cs="Arial"/>
          <w:iCs/>
          <w:color w:val="FF0000"/>
          <w:kern w:val="32"/>
          <w:sz w:val="22"/>
          <w:szCs w:val="22"/>
        </w:rPr>
      </w:pPr>
    </w:p>
    <w:p w:rsidR="003612DE" w:rsidRPr="004C2518" w:rsidRDefault="00B717B4" w:rsidP="005B5E1D">
      <w:pPr>
        <w:spacing w:line="360" w:lineRule="auto"/>
        <w:rPr>
          <w:rFonts w:asciiTheme="minorHAnsi" w:hAnsiTheme="minorHAnsi" w:cs="Arial"/>
          <w:b/>
          <w:iCs/>
          <w:color w:val="FF0000"/>
          <w:sz w:val="22"/>
          <w:szCs w:val="22"/>
          <w:u w:val="single"/>
        </w:rPr>
      </w:pPr>
      <w:r w:rsidRPr="004C2518">
        <w:rPr>
          <w:rFonts w:asciiTheme="minorHAnsi" w:hAnsiTheme="minorHAnsi" w:cs="Arial"/>
          <w:b/>
          <w:iCs/>
          <w:color w:val="FF0000"/>
          <w:sz w:val="22"/>
          <w:szCs w:val="22"/>
          <w:u w:val="single"/>
        </w:rPr>
        <w:t>CHRONOLOGY</w:t>
      </w:r>
    </w:p>
    <w:p w:rsidR="003612DE" w:rsidRPr="00910A1A" w:rsidRDefault="00243278" w:rsidP="005B5E1D">
      <w:pPr>
        <w:spacing w:line="360" w:lineRule="auto"/>
        <w:rPr>
          <w:rFonts w:asciiTheme="minorHAnsi" w:hAnsiTheme="minorHAnsi" w:cs="Arial"/>
          <w:sz w:val="22"/>
          <w:szCs w:val="22"/>
        </w:rPr>
      </w:pPr>
      <w:r>
        <w:rPr>
          <w:rFonts w:asciiTheme="minorHAnsi" w:hAnsiTheme="minorHAnsi" w:cs="Arial"/>
          <w:i/>
          <w:iCs/>
          <w:sz w:val="22"/>
          <w:szCs w:val="22"/>
        </w:rPr>
        <w:t xml:space="preserve">The </w:t>
      </w:r>
      <w:r w:rsidRPr="00243278">
        <w:rPr>
          <w:rFonts w:asciiTheme="minorHAnsi" w:hAnsiTheme="minorHAnsi" w:cs="Arial"/>
          <w:i/>
          <w:iCs/>
          <w:sz w:val="22"/>
          <w:szCs w:val="22"/>
        </w:rPr>
        <w:t>chronology should concentrate on the dates of offence, charge, first appearance, PTPH, service of case, service of unused and any trial date with further explanations added only when required to provide detail about the reason for any particular delay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146"/>
      </w:tblGrid>
      <w:tr w:rsidR="003335A0" w:rsidRPr="00910A1A" w:rsidTr="00227F58">
        <w:tc>
          <w:tcPr>
            <w:tcW w:w="2376" w:type="dxa"/>
            <w:shd w:val="clear" w:color="auto" w:fill="auto"/>
          </w:tcPr>
          <w:p w:rsidR="003612DE" w:rsidRPr="00910A1A" w:rsidRDefault="003612DE" w:rsidP="005B5E1D">
            <w:pPr>
              <w:spacing w:before="100" w:beforeAutospacing="1" w:after="100" w:afterAutospacing="1" w:line="360" w:lineRule="auto"/>
              <w:rPr>
                <w:rFonts w:asciiTheme="minorHAnsi" w:hAnsiTheme="minorHAnsi" w:cs="Arial"/>
                <w:iCs/>
                <w:color w:val="000000"/>
                <w:sz w:val="22"/>
                <w:szCs w:val="22"/>
              </w:rPr>
            </w:pPr>
          </w:p>
        </w:tc>
        <w:tc>
          <w:tcPr>
            <w:tcW w:w="6146" w:type="dxa"/>
            <w:shd w:val="clear" w:color="auto" w:fill="auto"/>
          </w:tcPr>
          <w:p w:rsidR="00B717B4" w:rsidRPr="00910A1A" w:rsidRDefault="00B717B4" w:rsidP="005B5E1D">
            <w:pPr>
              <w:spacing w:before="100" w:beforeAutospacing="1" w:after="100" w:afterAutospacing="1" w:line="360" w:lineRule="auto"/>
              <w:rPr>
                <w:rFonts w:asciiTheme="minorHAnsi" w:hAnsiTheme="minorHAnsi" w:cs="Arial"/>
                <w:iCs/>
                <w:color w:val="000000"/>
                <w:sz w:val="22"/>
                <w:szCs w:val="22"/>
              </w:rPr>
            </w:pPr>
          </w:p>
        </w:tc>
      </w:tr>
      <w:tr w:rsidR="003335A0" w:rsidRPr="00910A1A" w:rsidTr="00227F58">
        <w:tc>
          <w:tcPr>
            <w:tcW w:w="2376" w:type="dxa"/>
            <w:shd w:val="clear" w:color="auto" w:fill="auto"/>
          </w:tcPr>
          <w:p w:rsidR="003612DE" w:rsidRPr="00910A1A" w:rsidRDefault="003612DE" w:rsidP="005B5E1D">
            <w:pPr>
              <w:spacing w:before="100" w:beforeAutospacing="1" w:after="100" w:afterAutospacing="1" w:line="360" w:lineRule="auto"/>
              <w:rPr>
                <w:rFonts w:asciiTheme="minorHAnsi" w:hAnsiTheme="minorHAnsi" w:cs="Arial"/>
                <w:iCs/>
                <w:color w:val="000000"/>
                <w:sz w:val="22"/>
                <w:szCs w:val="22"/>
              </w:rPr>
            </w:pPr>
          </w:p>
        </w:tc>
        <w:tc>
          <w:tcPr>
            <w:tcW w:w="6146" w:type="dxa"/>
            <w:shd w:val="clear" w:color="auto" w:fill="auto"/>
          </w:tcPr>
          <w:p w:rsidR="003612DE" w:rsidRPr="00910A1A" w:rsidRDefault="003612DE" w:rsidP="005B5E1D">
            <w:pPr>
              <w:spacing w:before="100" w:beforeAutospacing="1" w:after="100" w:afterAutospacing="1" w:line="360" w:lineRule="auto"/>
              <w:rPr>
                <w:rFonts w:asciiTheme="minorHAnsi" w:hAnsiTheme="minorHAnsi" w:cs="Arial"/>
                <w:iCs/>
                <w:color w:val="000000"/>
                <w:sz w:val="22"/>
                <w:szCs w:val="22"/>
              </w:rPr>
            </w:pPr>
          </w:p>
        </w:tc>
      </w:tr>
    </w:tbl>
    <w:p w:rsidR="003612DE" w:rsidRPr="00910A1A" w:rsidRDefault="003612DE" w:rsidP="005B5E1D">
      <w:pPr>
        <w:spacing w:line="360" w:lineRule="auto"/>
        <w:rPr>
          <w:rFonts w:asciiTheme="minorHAnsi" w:hAnsiTheme="minorHAnsi" w:cs="Arial"/>
          <w:iCs/>
          <w:color w:val="000000"/>
          <w:sz w:val="22"/>
          <w:szCs w:val="22"/>
        </w:rPr>
      </w:pPr>
    </w:p>
    <w:p w:rsidR="00A04113" w:rsidRPr="004C2518" w:rsidRDefault="004C2518" w:rsidP="005B5E1D">
      <w:pPr>
        <w:spacing w:line="360" w:lineRule="auto"/>
        <w:rPr>
          <w:rFonts w:asciiTheme="minorHAnsi" w:hAnsiTheme="minorHAnsi" w:cs="Arial"/>
          <w:b/>
          <w:color w:val="FF0000"/>
          <w:sz w:val="22"/>
          <w:szCs w:val="22"/>
          <w:u w:val="single"/>
        </w:rPr>
      </w:pPr>
      <w:r w:rsidRPr="004C2518">
        <w:rPr>
          <w:rFonts w:asciiTheme="minorHAnsi" w:hAnsiTheme="minorHAnsi" w:cs="Arial"/>
          <w:b/>
          <w:color w:val="FF0000"/>
          <w:sz w:val="22"/>
          <w:szCs w:val="22"/>
          <w:u w:val="single"/>
        </w:rPr>
        <w:t xml:space="preserve">FURTHER </w:t>
      </w:r>
      <w:r w:rsidR="00A04113" w:rsidRPr="004C2518">
        <w:rPr>
          <w:rFonts w:asciiTheme="minorHAnsi" w:hAnsiTheme="minorHAnsi" w:cs="Arial"/>
          <w:b/>
          <w:color w:val="FF0000"/>
          <w:sz w:val="22"/>
          <w:szCs w:val="22"/>
          <w:u w:val="single"/>
        </w:rPr>
        <w:t>SUBMISSIONS</w:t>
      </w:r>
    </w:p>
    <w:p w:rsidR="00A04113" w:rsidRPr="00910A1A" w:rsidRDefault="00A04113" w:rsidP="005B5E1D">
      <w:pPr>
        <w:spacing w:line="360" w:lineRule="auto"/>
        <w:rPr>
          <w:rFonts w:asciiTheme="minorHAnsi" w:hAnsiTheme="minorHAnsi" w:cs="Arial"/>
          <w:sz w:val="22"/>
          <w:szCs w:val="22"/>
        </w:rPr>
      </w:pPr>
    </w:p>
    <w:p w:rsidR="00F61F2D" w:rsidRPr="00F61F2D" w:rsidRDefault="00F61F2D" w:rsidP="005B5E1D">
      <w:pPr>
        <w:spacing w:line="360" w:lineRule="auto"/>
        <w:rPr>
          <w:rFonts w:asciiTheme="minorHAnsi" w:hAnsiTheme="minorHAnsi" w:cs="Arial"/>
          <w:color w:val="FF0000"/>
          <w:sz w:val="22"/>
          <w:szCs w:val="22"/>
        </w:rPr>
      </w:pPr>
      <w:r>
        <w:rPr>
          <w:rFonts w:asciiTheme="minorHAnsi" w:hAnsiTheme="minorHAnsi" w:cs="Arial"/>
          <w:color w:val="FF0000"/>
          <w:sz w:val="22"/>
          <w:szCs w:val="22"/>
        </w:rPr>
        <w:t>Set out further submissions here.</w:t>
      </w:r>
    </w:p>
    <w:p w:rsidR="00F61F2D" w:rsidRDefault="00F61F2D" w:rsidP="005B5E1D">
      <w:pPr>
        <w:spacing w:line="360" w:lineRule="auto"/>
        <w:rPr>
          <w:rFonts w:asciiTheme="minorHAnsi" w:hAnsiTheme="minorHAnsi" w:cs="Arial"/>
          <w:sz w:val="22"/>
          <w:szCs w:val="22"/>
        </w:rPr>
      </w:pPr>
    </w:p>
    <w:p w:rsidR="00F61F2D" w:rsidRDefault="00F61F2D" w:rsidP="005B5E1D">
      <w:pPr>
        <w:spacing w:line="360" w:lineRule="auto"/>
        <w:rPr>
          <w:rFonts w:asciiTheme="minorHAnsi" w:hAnsiTheme="minorHAnsi" w:cs="Arial"/>
          <w:sz w:val="22"/>
          <w:szCs w:val="22"/>
        </w:rPr>
      </w:pPr>
    </w:p>
    <w:p w:rsidR="00F61F2D" w:rsidRDefault="00F61F2D" w:rsidP="005B5E1D">
      <w:pPr>
        <w:spacing w:line="360" w:lineRule="auto"/>
        <w:rPr>
          <w:rFonts w:asciiTheme="minorHAnsi" w:hAnsiTheme="minorHAnsi" w:cs="Arial"/>
          <w:sz w:val="22"/>
          <w:szCs w:val="22"/>
        </w:rPr>
      </w:pPr>
    </w:p>
    <w:p w:rsidR="003612DE" w:rsidRPr="00910A1A" w:rsidRDefault="003612DE" w:rsidP="005B5E1D">
      <w:pPr>
        <w:spacing w:line="360" w:lineRule="auto"/>
        <w:rPr>
          <w:rFonts w:asciiTheme="minorHAnsi" w:hAnsiTheme="minorHAnsi" w:cs="Arial"/>
          <w:sz w:val="22"/>
          <w:szCs w:val="22"/>
        </w:rPr>
      </w:pPr>
      <w:r w:rsidRPr="00910A1A">
        <w:rPr>
          <w:rFonts w:asciiTheme="minorHAnsi" w:hAnsiTheme="minorHAnsi" w:cs="Arial"/>
          <w:sz w:val="22"/>
          <w:szCs w:val="22"/>
        </w:rPr>
        <w:t>If the Court is otherwise satisfied that the Prosecution has, on the balance of probabilities, established the grounds for an extension of the custody time limit(s) (per Lord Bingham in ex parte MacDonald) and is considering as a matter of its discretion whether to grant the application or otherwise, the Prosecution respectfully reminds the Court that objections to bail remain (</w:t>
      </w:r>
      <w:r w:rsidRPr="00910A1A">
        <w:rPr>
          <w:rFonts w:asciiTheme="minorHAnsi" w:hAnsiTheme="minorHAnsi" w:cs="Arial"/>
          <w:i/>
          <w:sz w:val="22"/>
          <w:szCs w:val="22"/>
        </w:rPr>
        <w:t>R v Crown Court at Minshull ex parte Smith</w:t>
      </w:r>
      <w:r w:rsidRPr="00910A1A">
        <w:rPr>
          <w:rFonts w:asciiTheme="minorHAnsi" w:hAnsiTheme="minorHAnsi" w:cs="Arial"/>
          <w:sz w:val="22"/>
          <w:szCs w:val="22"/>
        </w:rPr>
        <w:t xml:space="preserve"> (23.8.1999) QBD) (J Collins).</w:t>
      </w:r>
    </w:p>
    <w:p w:rsidR="00890E95" w:rsidRPr="00910A1A" w:rsidRDefault="00890E95" w:rsidP="005B5E1D">
      <w:pPr>
        <w:spacing w:line="360" w:lineRule="auto"/>
        <w:rPr>
          <w:rFonts w:asciiTheme="minorHAnsi" w:hAnsiTheme="minorHAnsi" w:cs="Arial"/>
          <w:sz w:val="22"/>
          <w:szCs w:val="22"/>
        </w:rPr>
      </w:pPr>
    </w:p>
    <w:p w:rsidR="00890E95" w:rsidRPr="00F61F2D" w:rsidRDefault="00890E95" w:rsidP="00890E95">
      <w:pPr>
        <w:spacing w:line="360" w:lineRule="auto"/>
        <w:rPr>
          <w:rFonts w:asciiTheme="minorHAnsi" w:hAnsiTheme="minorHAnsi" w:cs="Arial"/>
          <w:color w:val="FF0000"/>
          <w:sz w:val="22"/>
          <w:szCs w:val="22"/>
        </w:rPr>
      </w:pPr>
    </w:p>
    <w:p w:rsidR="00890E95" w:rsidRPr="00910A1A" w:rsidRDefault="00890E95" w:rsidP="005B5E1D">
      <w:pPr>
        <w:spacing w:line="360" w:lineRule="auto"/>
        <w:rPr>
          <w:rFonts w:asciiTheme="minorHAnsi" w:hAnsiTheme="minorHAnsi" w:cs="Arial"/>
          <w:sz w:val="22"/>
          <w:szCs w:val="22"/>
        </w:rPr>
      </w:pPr>
    </w:p>
    <w:p w:rsidR="00890E95" w:rsidRPr="00910A1A" w:rsidRDefault="00890E95" w:rsidP="005B5E1D">
      <w:pPr>
        <w:spacing w:line="360" w:lineRule="auto"/>
        <w:rPr>
          <w:rFonts w:asciiTheme="minorHAnsi" w:hAnsiTheme="minorHAnsi" w:cs="Arial"/>
          <w:b/>
          <w:sz w:val="22"/>
          <w:szCs w:val="22"/>
          <w:u w:val="single"/>
        </w:rPr>
      </w:pPr>
      <w:r w:rsidRPr="00910A1A">
        <w:rPr>
          <w:rFonts w:asciiTheme="minorHAnsi" w:hAnsiTheme="minorHAnsi" w:cs="Arial"/>
          <w:b/>
          <w:sz w:val="22"/>
          <w:szCs w:val="22"/>
          <w:u w:val="single"/>
        </w:rPr>
        <w:t>SUMMARY</w:t>
      </w:r>
    </w:p>
    <w:p w:rsidR="003612DE" w:rsidRPr="00910A1A" w:rsidRDefault="003612DE" w:rsidP="005B5E1D">
      <w:pPr>
        <w:spacing w:line="360" w:lineRule="auto"/>
        <w:rPr>
          <w:rFonts w:asciiTheme="minorHAnsi" w:hAnsiTheme="minorHAnsi" w:cs="Arial"/>
          <w:sz w:val="22"/>
          <w:szCs w:val="22"/>
        </w:rPr>
      </w:pPr>
    </w:p>
    <w:p w:rsidR="00E507A4" w:rsidRPr="00F61F2D" w:rsidRDefault="00F61F2D" w:rsidP="005B5E1D">
      <w:pPr>
        <w:spacing w:line="360" w:lineRule="auto"/>
        <w:rPr>
          <w:rFonts w:asciiTheme="minorHAnsi" w:hAnsiTheme="minorHAnsi" w:cs="Arial"/>
          <w:color w:val="FF0000"/>
          <w:sz w:val="22"/>
          <w:szCs w:val="22"/>
        </w:rPr>
      </w:pPr>
      <w:r>
        <w:rPr>
          <w:rFonts w:asciiTheme="minorHAnsi" w:hAnsiTheme="minorHAnsi" w:cs="Arial"/>
          <w:color w:val="FF0000"/>
          <w:sz w:val="22"/>
          <w:szCs w:val="22"/>
        </w:rPr>
        <w:t>Insert summary</w:t>
      </w:r>
    </w:p>
    <w:p w:rsidR="00294A59" w:rsidRPr="00910A1A" w:rsidRDefault="00294A59" w:rsidP="005B5E1D">
      <w:pPr>
        <w:spacing w:line="360" w:lineRule="auto"/>
        <w:rPr>
          <w:rFonts w:asciiTheme="minorHAnsi" w:hAnsiTheme="minorHAnsi" w:cs="Arial"/>
          <w:sz w:val="22"/>
          <w:szCs w:val="22"/>
        </w:rPr>
      </w:pPr>
    </w:p>
    <w:p w:rsidR="003612DE" w:rsidRPr="00910A1A" w:rsidRDefault="003612DE" w:rsidP="005B5E1D">
      <w:pPr>
        <w:spacing w:line="360" w:lineRule="auto"/>
        <w:rPr>
          <w:rFonts w:asciiTheme="minorHAnsi" w:hAnsiTheme="minorHAnsi" w:cs="Arial"/>
          <w:sz w:val="22"/>
          <w:szCs w:val="22"/>
        </w:rPr>
      </w:pPr>
    </w:p>
    <w:p w:rsidR="003612DE" w:rsidRPr="00910A1A" w:rsidRDefault="003612DE" w:rsidP="005B5E1D">
      <w:pPr>
        <w:spacing w:line="360" w:lineRule="auto"/>
        <w:rPr>
          <w:rFonts w:asciiTheme="minorHAnsi" w:hAnsiTheme="minorHAnsi" w:cs="Arial"/>
          <w:sz w:val="22"/>
          <w:szCs w:val="22"/>
        </w:rPr>
      </w:pPr>
    </w:p>
    <w:p w:rsidR="003612DE" w:rsidRPr="00910A1A" w:rsidRDefault="003612DE" w:rsidP="005B5E1D">
      <w:pPr>
        <w:spacing w:line="360" w:lineRule="auto"/>
        <w:rPr>
          <w:rFonts w:asciiTheme="minorHAnsi" w:hAnsiTheme="minorHAnsi" w:cs="Arial"/>
          <w:sz w:val="22"/>
          <w:szCs w:val="22"/>
        </w:rPr>
      </w:pPr>
      <w:r w:rsidRPr="00910A1A">
        <w:rPr>
          <w:rFonts w:asciiTheme="minorHAnsi" w:hAnsiTheme="minorHAnsi" w:cs="Arial"/>
          <w:sz w:val="22"/>
          <w:szCs w:val="22"/>
        </w:rPr>
        <w:t>Signed on behalf of the Crown Prosecution Service</w:t>
      </w:r>
    </w:p>
    <w:p w:rsidR="00294A59" w:rsidRPr="00910A1A" w:rsidRDefault="00294A59" w:rsidP="005B5E1D">
      <w:pPr>
        <w:spacing w:line="360" w:lineRule="auto"/>
        <w:rPr>
          <w:rFonts w:asciiTheme="minorHAnsi" w:hAnsiTheme="minorHAnsi" w:cs="Arial"/>
          <w:sz w:val="22"/>
          <w:szCs w:val="22"/>
        </w:rPr>
      </w:pPr>
    </w:p>
    <w:p w:rsidR="003612DE" w:rsidRPr="00910A1A" w:rsidRDefault="003612DE" w:rsidP="005B5E1D">
      <w:pPr>
        <w:spacing w:line="360" w:lineRule="auto"/>
        <w:rPr>
          <w:rFonts w:asciiTheme="minorHAnsi" w:hAnsiTheme="minorHAnsi" w:cs="Arial"/>
          <w:sz w:val="22"/>
          <w:szCs w:val="22"/>
        </w:rPr>
      </w:pPr>
      <w:r w:rsidRPr="00910A1A">
        <w:rPr>
          <w:rFonts w:asciiTheme="minorHAnsi" w:hAnsiTheme="minorHAnsi" w:cs="Arial"/>
          <w:sz w:val="22"/>
          <w:szCs w:val="22"/>
        </w:rPr>
        <w:t xml:space="preserve"> </w:t>
      </w:r>
    </w:p>
    <w:p w:rsidR="003612DE" w:rsidRPr="00910A1A" w:rsidRDefault="00FC3D42" w:rsidP="005B5E1D">
      <w:pPr>
        <w:spacing w:line="360" w:lineRule="auto"/>
        <w:rPr>
          <w:rFonts w:asciiTheme="minorHAnsi" w:hAnsiTheme="minorHAnsi" w:cs="Arial"/>
          <w:sz w:val="22"/>
          <w:szCs w:val="22"/>
        </w:rPr>
      </w:pPr>
      <w:r w:rsidRPr="00910A1A">
        <w:rPr>
          <w:rFonts w:asciiTheme="minorHAnsi" w:hAnsiTheme="minorHAnsi" w:cs="Arial"/>
          <w:sz w:val="22"/>
          <w:szCs w:val="22"/>
        </w:rPr>
        <w:t>Senior</w:t>
      </w:r>
      <w:r w:rsidR="003612DE" w:rsidRPr="00910A1A">
        <w:rPr>
          <w:rFonts w:asciiTheme="minorHAnsi" w:hAnsiTheme="minorHAnsi" w:cs="Arial"/>
          <w:sz w:val="22"/>
          <w:szCs w:val="22"/>
        </w:rPr>
        <w:t xml:space="preserve"> Crown Prosecutor</w:t>
      </w:r>
    </w:p>
    <w:p w:rsidR="00FC3D42" w:rsidRPr="00910A1A" w:rsidRDefault="00FC3D42" w:rsidP="005B5E1D">
      <w:pPr>
        <w:spacing w:line="360" w:lineRule="auto"/>
        <w:rPr>
          <w:rFonts w:asciiTheme="minorHAnsi" w:hAnsiTheme="minorHAnsi" w:cs="Arial"/>
          <w:sz w:val="22"/>
          <w:szCs w:val="22"/>
        </w:rPr>
      </w:pPr>
    </w:p>
    <w:p w:rsidR="00FC3D42" w:rsidRPr="00910A1A" w:rsidRDefault="00FC3D42" w:rsidP="005B5E1D">
      <w:pPr>
        <w:spacing w:line="360" w:lineRule="auto"/>
        <w:rPr>
          <w:rFonts w:asciiTheme="minorHAnsi" w:hAnsiTheme="minorHAnsi" w:cs="Arial"/>
          <w:sz w:val="22"/>
          <w:szCs w:val="22"/>
        </w:rPr>
      </w:pPr>
      <w:r w:rsidRPr="00910A1A">
        <w:rPr>
          <w:rFonts w:asciiTheme="minorHAnsi" w:hAnsiTheme="minorHAnsi" w:cs="Arial"/>
          <w:sz w:val="22"/>
          <w:szCs w:val="22"/>
        </w:rPr>
        <w:t xml:space="preserve">Approved by: </w:t>
      </w:r>
    </w:p>
    <w:p w:rsidR="00FC3D42" w:rsidRPr="00910A1A" w:rsidRDefault="00FC3D42" w:rsidP="005B5E1D">
      <w:pPr>
        <w:spacing w:line="360" w:lineRule="auto"/>
        <w:rPr>
          <w:rFonts w:asciiTheme="minorHAnsi" w:hAnsiTheme="minorHAnsi" w:cs="Arial"/>
          <w:sz w:val="22"/>
          <w:szCs w:val="22"/>
        </w:rPr>
      </w:pPr>
    </w:p>
    <w:p w:rsidR="00FC3D42" w:rsidRPr="00910A1A" w:rsidRDefault="00FC3D42" w:rsidP="005B5E1D">
      <w:pPr>
        <w:spacing w:line="360" w:lineRule="auto"/>
        <w:rPr>
          <w:rFonts w:asciiTheme="minorHAnsi" w:hAnsiTheme="minorHAnsi" w:cs="Arial"/>
          <w:sz w:val="22"/>
          <w:szCs w:val="22"/>
        </w:rPr>
      </w:pPr>
      <w:r w:rsidRPr="00910A1A">
        <w:rPr>
          <w:rFonts w:asciiTheme="minorHAnsi" w:hAnsiTheme="minorHAnsi" w:cs="Arial"/>
          <w:sz w:val="22"/>
          <w:szCs w:val="22"/>
        </w:rPr>
        <w:t>District Crown Prosecutor</w:t>
      </w:r>
    </w:p>
    <w:p w:rsidR="00FC3D42" w:rsidRPr="00910A1A" w:rsidRDefault="00FC3D42" w:rsidP="005B5E1D">
      <w:pPr>
        <w:spacing w:line="360" w:lineRule="auto"/>
        <w:rPr>
          <w:rFonts w:asciiTheme="minorHAnsi" w:hAnsiTheme="minorHAnsi" w:cs="Arial"/>
          <w:sz w:val="22"/>
          <w:szCs w:val="22"/>
        </w:rPr>
      </w:pPr>
    </w:p>
    <w:p w:rsidR="00FC3D42" w:rsidRPr="00910A1A" w:rsidRDefault="00FC3D42" w:rsidP="005B5E1D">
      <w:pPr>
        <w:spacing w:line="360" w:lineRule="auto"/>
        <w:rPr>
          <w:rFonts w:asciiTheme="minorHAnsi" w:hAnsiTheme="minorHAnsi" w:cs="Arial"/>
          <w:sz w:val="22"/>
          <w:szCs w:val="22"/>
        </w:rPr>
      </w:pPr>
    </w:p>
    <w:p w:rsidR="003612DE" w:rsidRPr="00910A1A" w:rsidRDefault="003612DE" w:rsidP="005B5E1D">
      <w:pPr>
        <w:spacing w:line="360" w:lineRule="auto"/>
        <w:rPr>
          <w:rFonts w:asciiTheme="minorHAnsi" w:hAnsiTheme="minorHAnsi" w:cs="Arial"/>
          <w:sz w:val="22"/>
          <w:szCs w:val="22"/>
        </w:rPr>
      </w:pPr>
      <w:r w:rsidRPr="00910A1A">
        <w:rPr>
          <w:rFonts w:asciiTheme="minorHAnsi" w:hAnsiTheme="minorHAnsi" w:cs="Arial"/>
          <w:sz w:val="22"/>
          <w:szCs w:val="22"/>
        </w:rPr>
        <w:lastRenderedPageBreak/>
        <w:br/>
        <w:t>This notice was ser</w:t>
      </w:r>
      <w:r w:rsidR="00636194" w:rsidRPr="00910A1A">
        <w:rPr>
          <w:rFonts w:asciiTheme="minorHAnsi" w:hAnsiTheme="minorHAnsi" w:cs="Arial"/>
          <w:sz w:val="22"/>
          <w:szCs w:val="22"/>
        </w:rPr>
        <w:t>ved on the court and defence on</w:t>
      </w:r>
      <w:r w:rsidRPr="00910A1A">
        <w:rPr>
          <w:rFonts w:asciiTheme="minorHAnsi" w:hAnsiTheme="minorHAnsi" w:cs="Arial"/>
          <w:sz w:val="22"/>
          <w:szCs w:val="22"/>
        </w:rPr>
        <w:t xml:space="preserve"> </w:t>
      </w:r>
      <w:r w:rsidR="00636194" w:rsidRPr="00910A1A">
        <w:rPr>
          <w:rFonts w:asciiTheme="minorHAnsi" w:hAnsiTheme="minorHAnsi" w:cs="Arial"/>
          <w:sz w:val="22"/>
          <w:szCs w:val="22"/>
        </w:rPr>
        <w:br/>
      </w:r>
    </w:p>
    <w:p w:rsidR="00634998" w:rsidRPr="00910A1A" w:rsidRDefault="00634998" w:rsidP="005B5E1D">
      <w:pPr>
        <w:spacing w:line="360" w:lineRule="auto"/>
        <w:rPr>
          <w:rFonts w:asciiTheme="minorHAnsi" w:hAnsiTheme="minorHAnsi" w:cs="Arial"/>
          <w:sz w:val="22"/>
          <w:szCs w:val="22"/>
        </w:rPr>
      </w:pPr>
    </w:p>
    <w:p w:rsidR="00703CD2" w:rsidRPr="00910A1A" w:rsidRDefault="00703CD2" w:rsidP="005B5E1D">
      <w:pPr>
        <w:spacing w:line="360" w:lineRule="auto"/>
        <w:rPr>
          <w:rFonts w:asciiTheme="minorHAnsi" w:hAnsiTheme="minorHAnsi" w:cs="Arial"/>
          <w:sz w:val="22"/>
          <w:szCs w:val="22"/>
        </w:rPr>
      </w:pPr>
      <w:r w:rsidRPr="00910A1A">
        <w:rPr>
          <w:rFonts w:asciiTheme="minorHAnsi" w:hAnsiTheme="minorHAnsi" w:cs="Arial"/>
          <w:sz w:val="22"/>
          <w:szCs w:val="22"/>
        </w:rPr>
        <w:br/>
      </w:r>
      <w:r w:rsidRPr="00910A1A">
        <w:rPr>
          <w:rFonts w:asciiTheme="minorHAnsi" w:hAnsiTheme="minorHAnsi" w:cs="Arial"/>
          <w:sz w:val="22"/>
          <w:szCs w:val="22"/>
        </w:rPr>
        <w:br/>
      </w:r>
      <w:r w:rsidRPr="00910A1A">
        <w:rPr>
          <w:rFonts w:asciiTheme="minorHAnsi" w:hAnsiTheme="minorHAnsi" w:cs="Arial"/>
          <w:sz w:val="22"/>
          <w:szCs w:val="22"/>
        </w:rPr>
        <w:br/>
      </w:r>
      <w:r w:rsidRPr="00910A1A">
        <w:rPr>
          <w:rFonts w:asciiTheme="minorHAnsi" w:hAnsiTheme="minorHAnsi" w:cs="Arial"/>
          <w:sz w:val="22"/>
          <w:szCs w:val="22"/>
        </w:rPr>
        <w:br/>
      </w:r>
    </w:p>
    <w:p w:rsidR="00703CD2" w:rsidRPr="00910A1A" w:rsidRDefault="00703CD2" w:rsidP="005B5E1D">
      <w:pPr>
        <w:spacing w:line="360" w:lineRule="auto"/>
        <w:rPr>
          <w:rFonts w:asciiTheme="minorHAnsi" w:hAnsiTheme="minorHAnsi" w:cs="Arial"/>
          <w:sz w:val="22"/>
          <w:szCs w:val="22"/>
        </w:rPr>
      </w:pPr>
    </w:p>
    <w:p w:rsidR="003F06E4" w:rsidRPr="00910A1A" w:rsidRDefault="003F06E4" w:rsidP="005B5E1D">
      <w:pPr>
        <w:spacing w:line="360" w:lineRule="auto"/>
        <w:rPr>
          <w:rFonts w:asciiTheme="minorHAnsi" w:hAnsiTheme="minorHAnsi" w:cs="Arial"/>
          <w:sz w:val="22"/>
          <w:szCs w:val="22"/>
        </w:rPr>
      </w:pPr>
    </w:p>
    <w:p w:rsidR="003612DE" w:rsidRPr="00910A1A" w:rsidRDefault="003612DE" w:rsidP="005B5E1D">
      <w:pPr>
        <w:spacing w:line="360" w:lineRule="auto"/>
        <w:rPr>
          <w:rFonts w:asciiTheme="minorHAnsi" w:hAnsiTheme="minorHAnsi" w:cs="Arial"/>
          <w:sz w:val="22"/>
          <w:szCs w:val="22"/>
        </w:rPr>
      </w:pPr>
    </w:p>
    <w:sectPr w:rsidR="003612DE" w:rsidRPr="00910A1A">
      <w:footerReference w:type="even"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099" w:rsidRDefault="00123099">
      <w:r>
        <w:separator/>
      </w:r>
    </w:p>
  </w:endnote>
  <w:endnote w:type="continuationSeparator" w:id="0">
    <w:p w:rsidR="00123099" w:rsidRDefault="00123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CD2" w:rsidRDefault="00703CD2" w:rsidP="00A440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3CD2" w:rsidRDefault="00703CD2" w:rsidP="00703C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CD2" w:rsidRPr="0041520C" w:rsidRDefault="00703CD2" w:rsidP="00A440DA">
    <w:pPr>
      <w:pStyle w:val="Footer"/>
      <w:framePr w:wrap="around" w:vAnchor="text" w:hAnchor="margin" w:xAlign="right" w:y="1"/>
      <w:rPr>
        <w:rStyle w:val="PageNumber"/>
        <w:rFonts w:ascii="Calibri" w:hAnsi="Calibri"/>
        <w:sz w:val="22"/>
        <w:szCs w:val="22"/>
      </w:rPr>
    </w:pPr>
    <w:r w:rsidRPr="0041520C">
      <w:rPr>
        <w:rStyle w:val="PageNumber"/>
        <w:rFonts w:ascii="Calibri" w:hAnsi="Calibri"/>
        <w:sz w:val="22"/>
        <w:szCs w:val="22"/>
      </w:rPr>
      <w:fldChar w:fldCharType="begin"/>
    </w:r>
    <w:r w:rsidRPr="0041520C">
      <w:rPr>
        <w:rStyle w:val="PageNumber"/>
        <w:rFonts w:ascii="Calibri" w:hAnsi="Calibri"/>
        <w:sz w:val="22"/>
        <w:szCs w:val="22"/>
      </w:rPr>
      <w:instrText xml:space="preserve">PAGE  </w:instrText>
    </w:r>
    <w:r w:rsidRPr="0041520C">
      <w:rPr>
        <w:rStyle w:val="PageNumber"/>
        <w:rFonts w:ascii="Calibri" w:hAnsi="Calibri"/>
        <w:sz w:val="22"/>
        <w:szCs w:val="22"/>
      </w:rPr>
      <w:fldChar w:fldCharType="separate"/>
    </w:r>
    <w:r w:rsidR="00674CB3">
      <w:rPr>
        <w:rStyle w:val="PageNumber"/>
        <w:rFonts w:ascii="Calibri" w:hAnsi="Calibri"/>
        <w:noProof/>
        <w:sz w:val="22"/>
        <w:szCs w:val="22"/>
      </w:rPr>
      <w:t>2</w:t>
    </w:r>
    <w:r w:rsidRPr="0041520C">
      <w:rPr>
        <w:rStyle w:val="PageNumber"/>
        <w:rFonts w:ascii="Calibri" w:hAnsi="Calibri"/>
        <w:sz w:val="22"/>
        <w:szCs w:val="22"/>
      </w:rPr>
      <w:fldChar w:fldCharType="end"/>
    </w:r>
  </w:p>
  <w:p w:rsidR="00703CD2" w:rsidRDefault="00703CD2" w:rsidP="00703C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099" w:rsidRDefault="00123099">
      <w:r>
        <w:separator/>
      </w:r>
    </w:p>
  </w:footnote>
  <w:footnote w:type="continuationSeparator" w:id="0">
    <w:p w:rsidR="00123099" w:rsidRDefault="00123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07938"/>
    <w:multiLevelType w:val="hybridMultilevel"/>
    <w:tmpl w:val="D3CAA0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A5B2E83"/>
    <w:multiLevelType w:val="multilevel"/>
    <w:tmpl w:val="15688A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6D42FE1"/>
    <w:multiLevelType w:val="hybridMultilevel"/>
    <w:tmpl w:val="00ECB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8A7830"/>
    <w:multiLevelType w:val="multilevel"/>
    <w:tmpl w:val="CC6A72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Arial" w:eastAsia="Times New Roman" w:hAnsi="Arial" w:cs="Arial"/>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FB80AAA"/>
    <w:multiLevelType w:val="hybridMultilevel"/>
    <w:tmpl w:val="C9D80E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D17"/>
    <w:rsid w:val="00021C61"/>
    <w:rsid w:val="000703E2"/>
    <w:rsid w:val="000846A7"/>
    <w:rsid w:val="00123099"/>
    <w:rsid w:val="00154335"/>
    <w:rsid w:val="00227F58"/>
    <w:rsid w:val="0023746E"/>
    <w:rsid w:val="00243278"/>
    <w:rsid w:val="002936A0"/>
    <w:rsid w:val="00294A59"/>
    <w:rsid w:val="003232B4"/>
    <w:rsid w:val="003335A0"/>
    <w:rsid w:val="003612DE"/>
    <w:rsid w:val="003839F8"/>
    <w:rsid w:val="003F06E4"/>
    <w:rsid w:val="0041520C"/>
    <w:rsid w:val="004C2518"/>
    <w:rsid w:val="005035A0"/>
    <w:rsid w:val="005111F1"/>
    <w:rsid w:val="00545373"/>
    <w:rsid w:val="005612A1"/>
    <w:rsid w:val="005A0A23"/>
    <w:rsid w:val="005B5E1D"/>
    <w:rsid w:val="005D3384"/>
    <w:rsid w:val="00634998"/>
    <w:rsid w:val="00636194"/>
    <w:rsid w:val="00674CB3"/>
    <w:rsid w:val="00703CD2"/>
    <w:rsid w:val="00704ADF"/>
    <w:rsid w:val="00705D17"/>
    <w:rsid w:val="0071769A"/>
    <w:rsid w:val="00726E14"/>
    <w:rsid w:val="007B6D8A"/>
    <w:rsid w:val="008150C4"/>
    <w:rsid w:val="008400FE"/>
    <w:rsid w:val="00885184"/>
    <w:rsid w:val="00890E95"/>
    <w:rsid w:val="008E1DE0"/>
    <w:rsid w:val="008E6C25"/>
    <w:rsid w:val="00910A1A"/>
    <w:rsid w:val="00910AB3"/>
    <w:rsid w:val="0095325A"/>
    <w:rsid w:val="009868C7"/>
    <w:rsid w:val="00A04113"/>
    <w:rsid w:val="00A440DA"/>
    <w:rsid w:val="00A708D3"/>
    <w:rsid w:val="00A93466"/>
    <w:rsid w:val="00AE27F2"/>
    <w:rsid w:val="00B522F9"/>
    <w:rsid w:val="00B717B4"/>
    <w:rsid w:val="00BC3966"/>
    <w:rsid w:val="00C464AF"/>
    <w:rsid w:val="00C81486"/>
    <w:rsid w:val="00CD224C"/>
    <w:rsid w:val="00CF1262"/>
    <w:rsid w:val="00D216AC"/>
    <w:rsid w:val="00D241A8"/>
    <w:rsid w:val="00D57FB7"/>
    <w:rsid w:val="00D72679"/>
    <w:rsid w:val="00DF2567"/>
    <w:rsid w:val="00E507A4"/>
    <w:rsid w:val="00F40123"/>
    <w:rsid w:val="00F61F2D"/>
    <w:rsid w:val="00FC3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B3BD95-FB2E-4E8F-81CD-3CF31EBB0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3CD2"/>
    <w:pPr>
      <w:tabs>
        <w:tab w:val="center" w:pos="4153"/>
        <w:tab w:val="right" w:pos="8306"/>
      </w:tabs>
    </w:pPr>
  </w:style>
  <w:style w:type="paragraph" w:styleId="Footer">
    <w:name w:val="footer"/>
    <w:basedOn w:val="Normal"/>
    <w:rsid w:val="00703CD2"/>
    <w:pPr>
      <w:tabs>
        <w:tab w:val="center" w:pos="4153"/>
        <w:tab w:val="right" w:pos="8306"/>
      </w:tabs>
    </w:pPr>
  </w:style>
  <w:style w:type="character" w:styleId="PageNumber">
    <w:name w:val="page number"/>
    <w:basedOn w:val="DefaultParagraphFont"/>
    <w:rsid w:val="00703CD2"/>
  </w:style>
  <w:style w:type="table" w:styleId="TableGrid">
    <w:name w:val="Table Grid"/>
    <w:basedOn w:val="TableNormal"/>
    <w:rsid w:val="003612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12DE"/>
    <w:pPr>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021C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607">
      <w:bodyDiv w:val="1"/>
      <w:marLeft w:val="0"/>
      <w:marRight w:val="0"/>
      <w:marTop w:val="0"/>
      <w:marBottom w:val="0"/>
      <w:divBdr>
        <w:top w:val="none" w:sz="0" w:space="0" w:color="auto"/>
        <w:left w:val="none" w:sz="0" w:space="0" w:color="auto"/>
        <w:bottom w:val="none" w:sz="0" w:space="0" w:color="auto"/>
        <w:right w:val="none" w:sz="0" w:space="0" w:color="auto"/>
      </w:divBdr>
    </w:div>
    <w:div w:id="421881839">
      <w:bodyDiv w:val="1"/>
      <w:marLeft w:val="0"/>
      <w:marRight w:val="0"/>
      <w:marTop w:val="0"/>
      <w:marBottom w:val="0"/>
      <w:divBdr>
        <w:top w:val="none" w:sz="0" w:space="0" w:color="auto"/>
        <w:left w:val="none" w:sz="0" w:space="0" w:color="auto"/>
        <w:bottom w:val="none" w:sz="0" w:space="0" w:color="auto"/>
        <w:right w:val="none" w:sz="0" w:space="0" w:color="auto"/>
      </w:divBdr>
    </w:div>
    <w:div w:id="94137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ogin.westlaw.co.uk/maf/wluk/ext/app/document?docguid=IB5197030A2F611DCBABCD20242380EDB&amp;crumb-action=reset&amp;sp=uklogcps-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udiciary.uk/announcements/coronavirus-jury-trials-message-from-the-lord-chief-justi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ogin.westlaw.co.uk/maf/pcrm/ext/app/document?crumb-action=reset&amp;docguid=I56AF6150E42811DA8FC2A0F0355337E9&amp;sp=uklogcps-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99161B8BFE2742BF00E8305BCD9034" ma:contentTypeVersion="" ma:contentTypeDescription="Create a new document." ma:contentTypeScope="" ma:versionID="02ccb2beb6da49a836aabffe45fba361">
  <xsd:schema xmlns:xsd="http://www.w3.org/2001/XMLSchema" xmlns:xs="http://www.w3.org/2001/XMLSchema" xmlns:p="http://schemas.microsoft.com/office/2006/metadata/properties" xmlns:ns1="http://schemas.microsoft.com/sharepoint/v3" targetNamespace="http://schemas.microsoft.com/office/2006/metadata/properties" ma:root="true" ma:fieldsID="c9f2915bc449c9eb1438cf294b3051d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E6BC75-A04D-4449-9CEE-93956465345B}">
  <ds:schemaRefs>
    <ds:schemaRef ds:uri="http://schemas.microsoft.com/office/2006/metadata/longProperties"/>
  </ds:schemaRefs>
</ds:datastoreItem>
</file>

<file path=customXml/itemProps2.xml><?xml version="1.0" encoding="utf-8"?>
<ds:datastoreItem xmlns:ds="http://schemas.openxmlformats.org/officeDocument/2006/customXml" ds:itemID="{4756BFE8-CC7A-4776-828B-F1F05069D547}">
  <ds:schemaRefs>
    <ds:schemaRef ds:uri="http://schemas.microsoft.com/sharepoint/v3/contenttype/forms"/>
  </ds:schemaRefs>
</ds:datastoreItem>
</file>

<file path=customXml/itemProps3.xml><?xml version="1.0" encoding="utf-8"?>
<ds:datastoreItem xmlns:ds="http://schemas.openxmlformats.org/officeDocument/2006/customXml" ds:itemID="{99604DFB-B176-4A72-ACB1-6EF7F67BF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8BEC15-0E43-4D84-B304-91594591656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1033</Words>
  <Characters>5890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ANNEX CC Application to Extend.doc</vt:lpstr>
    </vt:vector>
  </TitlesOfParts>
  <Company>Crown Prosecution Service</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CC Application to Extend.doc</dc:title>
  <dc:creator>CPS</dc:creator>
  <cp:lastModifiedBy>Sprawson, Alyson (Judicial Office)</cp:lastModifiedBy>
  <cp:revision>2</cp:revision>
  <dcterms:created xsi:type="dcterms:W3CDTF">2020-03-26T19:28:00Z</dcterms:created>
  <dcterms:modified xsi:type="dcterms:W3CDTF">2020-03-26T19:28:00Z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 Level 3">
    <vt:lpwstr>CPS (Main)</vt:lpwstr>
  </property>
  <property fmtid="{D5CDD505-2E9C-101B-9397-08002B2CF9AE}" pid="3" name="Org Level 5">
    <vt:lpwstr>Business Information Systems Directorate</vt:lpwstr>
  </property>
  <property fmtid="{D5CDD505-2E9C-101B-9397-08002B2CF9AE}" pid="4" name="Org Level 2">
    <vt:lpwstr>CPS</vt:lpwstr>
  </property>
  <property fmtid="{D5CDD505-2E9C-101B-9397-08002B2CF9AE}" pid="5" name="Org Level 4">
    <vt:lpwstr>Head Quarters</vt:lpwstr>
  </property>
  <property fmtid="{D5CDD505-2E9C-101B-9397-08002B2CF9AE}" pid="6" name="Org Level 1">
    <vt:lpwstr>Crown Prosecution Service</vt:lpwstr>
  </property>
  <property fmtid="{D5CDD505-2E9C-101B-9397-08002B2CF9AE}" pid="7" name="Protect Mark Descriptors">
    <vt:lpwstr/>
  </property>
  <property fmtid="{D5CDD505-2E9C-101B-9397-08002B2CF9AE}" pid="8" name="KIMSubCategory">
    <vt:lpwstr>CTL Draft User Guide</vt:lpwstr>
  </property>
  <property fmtid="{D5CDD505-2E9C-101B-9397-08002B2CF9AE}" pid="9" name="KIMCategory">
    <vt:lpwstr>09 MC SOP Drafts</vt:lpwstr>
  </property>
  <property fmtid="{D5CDD505-2E9C-101B-9397-08002B2CF9AE}" pid="10" name="Protective Marking">
    <vt:lpwstr>Not Protected</vt:lpwstr>
  </property>
  <property fmtid="{D5CDD505-2E9C-101B-9397-08002B2CF9AE}" pid="11" name="PublishingExpirationDate">
    <vt:lpwstr/>
  </property>
  <property fmtid="{D5CDD505-2E9C-101B-9397-08002B2CF9AE}" pid="12" name="PublishingStartDate">
    <vt:lpwstr/>
  </property>
</Properties>
</file>