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2EB87" w14:textId="578C6E5C" w:rsidR="005175D8" w:rsidRPr="00CC4040" w:rsidRDefault="001000B2" w:rsidP="0010457E">
      <w:pPr>
        <w:jc w:val="center"/>
        <w:rPr>
          <w:rFonts w:cstheme="minorHAnsi"/>
          <w:b/>
          <w:bCs/>
        </w:rPr>
      </w:pPr>
      <w:r>
        <w:rPr>
          <w:rFonts w:cstheme="minorHAnsi"/>
          <w:b/>
          <w:bCs/>
        </w:rPr>
        <w:t>GUIDANCE</w:t>
      </w:r>
      <w:r w:rsidR="0010457E" w:rsidRPr="00CC4040">
        <w:rPr>
          <w:rFonts w:cstheme="minorHAnsi"/>
          <w:b/>
          <w:bCs/>
        </w:rPr>
        <w:t xml:space="preserve"> FOR THE CONDUCT OF REMOTE COSTS HEARINGS</w:t>
      </w:r>
    </w:p>
    <w:p w14:paraId="22E4CB5E" w14:textId="3E5AA0E7" w:rsidR="0010457E" w:rsidRPr="00CC4040" w:rsidRDefault="0010457E" w:rsidP="0010457E">
      <w:pPr>
        <w:jc w:val="center"/>
        <w:rPr>
          <w:rFonts w:cstheme="minorHAnsi"/>
        </w:rPr>
      </w:pPr>
    </w:p>
    <w:p w14:paraId="1AF31E5E" w14:textId="3586D5AC" w:rsidR="00F72D16" w:rsidRPr="00CC4040" w:rsidRDefault="00F72D16" w:rsidP="0010457E">
      <w:pPr>
        <w:jc w:val="both"/>
        <w:rPr>
          <w:rFonts w:cstheme="minorHAnsi"/>
          <w:u w:val="single"/>
        </w:rPr>
      </w:pPr>
      <w:r w:rsidRPr="00CC4040">
        <w:rPr>
          <w:rFonts w:cstheme="minorHAnsi"/>
          <w:u w:val="single"/>
        </w:rPr>
        <w:t>Preamble</w:t>
      </w:r>
    </w:p>
    <w:p w14:paraId="20EBFEF1" w14:textId="18A03A2C" w:rsidR="00F72D16" w:rsidRPr="00CC4040" w:rsidRDefault="00F72D16" w:rsidP="0010457E">
      <w:pPr>
        <w:jc w:val="both"/>
        <w:rPr>
          <w:rFonts w:cstheme="minorHAnsi"/>
          <w:u w:val="single"/>
        </w:rPr>
      </w:pPr>
    </w:p>
    <w:p w14:paraId="59A568BD" w14:textId="39AFED75" w:rsidR="0021393F" w:rsidRDefault="00601CD4" w:rsidP="0021393F">
      <w:pPr>
        <w:pStyle w:val="ListParagraph"/>
        <w:numPr>
          <w:ilvl w:val="0"/>
          <w:numId w:val="17"/>
        </w:numPr>
        <w:jc w:val="both"/>
        <w:rPr>
          <w:rFonts w:cstheme="minorHAnsi"/>
        </w:rPr>
      </w:pPr>
      <w:r w:rsidRPr="0021393F">
        <w:rPr>
          <w:rFonts w:cstheme="minorHAnsi"/>
        </w:rPr>
        <w:t>Guidance</w:t>
      </w:r>
      <w:r w:rsidR="00F72D16" w:rsidRPr="0021393F">
        <w:rPr>
          <w:rFonts w:cstheme="minorHAnsi"/>
        </w:rPr>
        <w:t xml:space="preserve"> has been issued by the Judiciary of England and Wales regarding the conduct of remote hearings.  The parties are referred to the following:</w:t>
      </w:r>
    </w:p>
    <w:p w14:paraId="2D357054" w14:textId="77777777" w:rsidR="0021393F" w:rsidRDefault="0021393F" w:rsidP="0021393F">
      <w:pPr>
        <w:pStyle w:val="ListParagraph"/>
        <w:ind w:left="360"/>
        <w:jc w:val="both"/>
        <w:rPr>
          <w:rFonts w:cstheme="minorHAnsi"/>
        </w:rPr>
      </w:pPr>
    </w:p>
    <w:p w14:paraId="1C3BCC4E" w14:textId="77777777" w:rsidR="0021393F" w:rsidRDefault="00E66FE5" w:rsidP="0021393F">
      <w:pPr>
        <w:pStyle w:val="ListParagraph"/>
        <w:numPr>
          <w:ilvl w:val="1"/>
          <w:numId w:val="17"/>
        </w:numPr>
        <w:jc w:val="both"/>
        <w:rPr>
          <w:rFonts w:cstheme="minorHAnsi"/>
        </w:rPr>
      </w:pPr>
      <w:r w:rsidRPr="0021393F">
        <w:rPr>
          <w:rFonts w:cstheme="minorHAnsi"/>
        </w:rPr>
        <w:t xml:space="preserve">Practice Direction 51Y – “Video or Audio Hearings </w:t>
      </w:r>
      <w:r w:rsidR="00601CD4" w:rsidRPr="0021393F">
        <w:rPr>
          <w:rFonts w:cstheme="minorHAnsi"/>
        </w:rPr>
        <w:t>D</w:t>
      </w:r>
      <w:r w:rsidRPr="0021393F">
        <w:rPr>
          <w:rFonts w:cstheme="minorHAnsi"/>
        </w:rPr>
        <w:t>uring Coronavirus Pandemic”, in force 25 March 2020;</w:t>
      </w:r>
    </w:p>
    <w:p w14:paraId="162C6188" w14:textId="77777777" w:rsidR="0021393F" w:rsidRDefault="0021393F" w:rsidP="0021393F">
      <w:pPr>
        <w:pStyle w:val="ListParagraph"/>
        <w:ind w:left="792"/>
        <w:jc w:val="both"/>
        <w:rPr>
          <w:rFonts w:cstheme="minorHAnsi"/>
        </w:rPr>
      </w:pPr>
    </w:p>
    <w:p w14:paraId="7C69B8F7" w14:textId="7B97647D" w:rsidR="0021393F" w:rsidRDefault="00F72D16" w:rsidP="0021393F">
      <w:pPr>
        <w:pStyle w:val="ListParagraph"/>
        <w:numPr>
          <w:ilvl w:val="1"/>
          <w:numId w:val="17"/>
        </w:numPr>
        <w:jc w:val="both"/>
        <w:rPr>
          <w:rFonts w:cstheme="minorHAnsi"/>
        </w:rPr>
      </w:pPr>
      <w:r w:rsidRPr="0021393F">
        <w:rPr>
          <w:rFonts w:cstheme="minorHAnsi"/>
        </w:rPr>
        <w:t>The Protocol regarding Remote Hearings, issued 26 March 2020</w:t>
      </w:r>
      <w:r w:rsidR="00601CD4" w:rsidRPr="0021393F">
        <w:rPr>
          <w:rFonts w:cstheme="minorHAnsi"/>
        </w:rPr>
        <w:t xml:space="preserve"> and updated 31 March 2020</w:t>
      </w:r>
      <w:r w:rsidRPr="0021393F">
        <w:rPr>
          <w:rFonts w:cstheme="minorHAnsi"/>
        </w:rPr>
        <w:t xml:space="preserve"> - </w:t>
      </w:r>
      <w:hyperlink r:id="rId5" w:history="1">
        <w:r w:rsidRPr="0021393F">
          <w:rPr>
            <w:rStyle w:val="Hyperlink"/>
            <w:rFonts w:cstheme="minorHAnsi"/>
          </w:rPr>
          <w:t>https://www.judiciary.uk/wp-content/uploads/2020/03/Remote-hearings.Protocol.Civil_.GenerallyApplicableVersion.f-amend-26_03_20-1.pdf</w:t>
        </w:r>
      </w:hyperlink>
      <w:r w:rsidRPr="0021393F">
        <w:rPr>
          <w:rFonts w:cstheme="minorHAnsi"/>
        </w:rPr>
        <w:t xml:space="preserve"> </w:t>
      </w:r>
      <w:r w:rsidR="004820D9" w:rsidRPr="0021393F">
        <w:rPr>
          <w:rFonts w:cstheme="minorHAnsi"/>
        </w:rPr>
        <w:t xml:space="preserve">(“The Protocol”).  Parts of the Protocol are imported into </w:t>
      </w:r>
      <w:r w:rsidR="00611E4D">
        <w:rPr>
          <w:rFonts w:cstheme="minorHAnsi"/>
        </w:rPr>
        <w:t xml:space="preserve">this Guidance Note </w:t>
      </w:r>
      <w:r w:rsidR="004820D9" w:rsidRPr="0021393F">
        <w:rPr>
          <w:rFonts w:cstheme="minorHAnsi"/>
        </w:rPr>
        <w:t>for ease of reference.</w:t>
      </w:r>
    </w:p>
    <w:p w14:paraId="7EE9C3F4" w14:textId="77777777" w:rsidR="0021393F" w:rsidRPr="0021393F" w:rsidRDefault="0021393F" w:rsidP="0021393F">
      <w:pPr>
        <w:pStyle w:val="ListParagraph"/>
        <w:rPr>
          <w:rFonts w:cstheme="minorHAnsi"/>
        </w:rPr>
      </w:pPr>
    </w:p>
    <w:p w14:paraId="155F08A0" w14:textId="77777777" w:rsidR="0021393F" w:rsidRDefault="00E813F1" w:rsidP="0021393F">
      <w:pPr>
        <w:pStyle w:val="ListParagraph"/>
        <w:numPr>
          <w:ilvl w:val="1"/>
          <w:numId w:val="17"/>
        </w:numPr>
        <w:jc w:val="both"/>
        <w:rPr>
          <w:rFonts w:cstheme="minorHAnsi"/>
        </w:rPr>
      </w:pPr>
      <w:r w:rsidRPr="0021393F">
        <w:rPr>
          <w:rFonts w:cstheme="minorHAnsi"/>
        </w:rPr>
        <w:t>Practice Direction 51ZA – “Extension of Time Limits and Clarification of PD51Y”, in force 2 April 2020.</w:t>
      </w:r>
    </w:p>
    <w:p w14:paraId="79DA8FE7" w14:textId="77777777" w:rsidR="0021393F" w:rsidRPr="0021393F" w:rsidRDefault="0021393F" w:rsidP="0021393F">
      <w:pPr>
        <w:pStyle w:val="ListParagraph"/>
        <w:rPr>
          <w:rFonts w:cstheme="minorHAnsi"/>
        </w:rPr>
      </w:pPr>
    </w:p>
    <w:p w14:paraId="3525354B" w14:textId="01397C37" w:rsidR="00E813F1" w:rsidRPr="0021393F" w:rsidRDefault="00E813F1" w:rsidP="0021393F">
      <w:pPr>
        <w:pStyle w:val="ListParagraph"/>
        <w:numPr>
          <w:ilvl w:val="1"/>
          <w:numId w:val="17"/>
        </w:numPr>
        <w:jc w:val="both"/>
        <w:rPr>
          <w:rFonts w:cstheme="minorHAnsi"/>
        </w:rPr>
      </w:pPr>
      <w:r w:rsidRPr="0021393F">
        <w:rPr>
          <w:rFonts w:cstheme="minorHAnsi"/>
        </w:rPr>
        <w:t>Civil Listing Priorities, issued 3 April 2020</w:t>
      </w:r>
      <w:r w:rsidR="007F0E3F" w:rsidRPr="0021393F">
        <w:rPr>
          <w:rFonts w:cstheme="minorHAnsi"/>
        </w:rPr>
        <w:t>.</w:t>
      </w:r>
    </w:p>
    <w:p w14:paraId="7CAEE440" w14:textId="34854088" w:rsidR="00F72D16" w:rsidRPr="00CC4040" w:rsidRDefault="00F72D16" w:rsidP="004820D9">
      <w:pPr>
        <w:jc w:val="both"/>
        <w:rPr>
          <w:rFonts w:cstheme="minorHAnsi"/>
        </w:rPr>
      </w:pPr>
    </w:p>
    <w:p w14:paraId="35F6F551" w14:textId="231DDBEE" w:rsidR="00601CD4" w:rsidRPr="0021393F" w:rsidRDefault="00601CD4" w:rsidP="0021393F">
      <w:pPr>
        <w:pStyle w:val="ListParagraph"/>
        <w:numPr>
          <w:ilvl w:val="0"/>
          <w:numId w:val="17"/>
        </w:numPr>
        <w:jc w:val="both"/>
        <w:rPr>
          <w:rFonts w:cstheme="minorHAnsi"/>
        </w:rPr>
      </w:pPr>
      <w:r w:rsidRPr="0021393F">
        <w:rPr>
          <w:rFonts w:cstheme="minorHAnsi"/>
        </w:rPr>
        <w:t xml:space="preserve">Parties are encouraged </w:t>
      </w:r>
      <w:r w:rsidR="00A43451" w:rsidRPr="0021393F">
        <w:rPr>
          <w:rFonts w:cstheme="minorHAnsi"/>
        </w:rPr>
        <w:t xml:space="preserve">regularly to </w:t>
      </w:r>
      <w:r w:rsidRPr="0021393F">
        <w:rPr>
          <w:rFonts w:cstheme="minorHAnsi"/>
        </w:rPr>
        <w:t xml:space="preserve">check for updates in relation to the </w:t>
      </w:r>
      <w:r w:rsidR="00E813F1" w:rsidRPr="0021393F">
        <w:rPr>
          <w:rFonts w:cstheme="minorHAnsi"/>
        </w:rPr>
        <w:t xml:space="preserve">aforementioned Practice Directions and </w:t>
      </w:r>
      <w:r w:rsidRPr="0021393F">
        <w:rPr>
          <w:rFonts w:cstheme="minorHAnsi"/>
        </w:rPr>
        <w:t>Protocol</w:t>
      </w:r>
      <w:r w:rsidR="00CE630D" w:rsidRPr="0021393F">
        <w:rPr>
          <w:rFonts w:cstheme="minorHAnsi"/>
        </w:rPr>
        <w:t>, as</w:t>
      </w:r>
      <w:r w:rsidR="00592877" w:rsidRPr="0021393F">
        <w:rPr>
          <w:rFonts w:cstheme="minorHAnsi"/>
        </w:rPr>
        <w:t xml:space="preserve"> </w:t>
      </w:r>
      <w:r w:rsidR="00CE630D" w:rsidRPr="0021393F">
        <w:rPr>
          <w:rFonts w:cstheme="minorHAnsi"/>
        </w:rPr>
        <w:t>well as to check the “HMCTS daily operational summary on courts and tribunals during the coronavirus (C</w:t>
      </w:r>
      <w:r w:rsidR="00CF2E13" w:rsidRPr="0021393F">
        <w:rPr>
          <w:rFonts w:cstheme="minorHAnsi"/>
        </w:rPr>
        <w:t>ovid</w:t>
      </w:r>
      <w:r w:rsidR="00CE630D" w:rsidRPr="0021393F">
        <w:rPr>
          <w:rFonts w:cstheme="minorHAnsi"/>
        </w:rPr>
        <w:t>-19) outbreak</w:t>
      </w:r>
      <w:r w:rsidR="00A43451" w:rsidRPr="0021393F">
        <w:rPr>
          <w:rFonts w:cstheme="minorHAnsi"/>
        </w:rPr>
        <w:t>”</w:t>
      </w:r>
      <w:r w:rsidR="00CE630D" w:rsidRPr="0021393F">
        <w:rPr>
          <w:rFonts w:cstheme="minorHAnsi"/>
        </w:rPr>
        <w:t xml:space="preserve"> - </w:t>
      </w:r>
      <w:hyperlink r:id="rId6" w:history="1">
        <w:r w:rsidR="00CE630D" w:rsidRPr="0021393F">
          <w:rPr>
            <w:rStyle w:val="Hyperlink"/>
            <w:rFonts w:cstheme="minorHAnsi"/>
          </w:rPr>
          <w:t>https://www.gov.uk/guidance/hmcts-daily-operational-summary-on-courts-and-tribunals-during-coronavirus-covid-19-outbreak</w:t>
        </w:r>
      </w:hyperlink>
      <w:r w:rsidR="00A43451" w:rsidRPr="0021393F">
        <w:rPr>
          <w:rFonts w:cstheme="minorHAnsi"/>
        </w:rPr>
        <w:t>.</w:t>
      </w:r>
    </w:p>
    <w:p w14:paraId="253B4B7B" w14:textId="77777777" w:rsidR="00601CD4" w:rsidRPr="00CC4040" w:rsidRDefault="00601CD4" w:rsidP="004820D9">
      <w:pPr>
        <w:jc w:val="both"/>
        <w:rPr>
          <w:rFonts w:cstheme="minorHAnsi"/>
        </w:rPr>
      </w:pPr>
    </w:p>
    <w:p w14:paraId="301C3B62" w14:textId="77777777" w:rsidR="007A6067" w:rsidRDefault="00A43451" w:rsidP="0021393F">
      <w:pPr>
        <w:pStyle w:val="ListParagraph"/>
        <w:numPr>
          <w:ilvl w:val="0"/>
          <w:numId w:val="17"/>
        </w:numPr>
        <w:jc w:val="both"/>
        <w:rPr>
          <w:rFonts w:cstheme="minorHAnsi"/>
        </w:rPr>
      </w:pPr>
      <w:r w:rsidRPr="0021393F">
        <w:rPr>
          <w:rFonts w:cstheme="minorHAnsi"/>
        </w:rPr>
        <w:t xml:space="preserve">Further guidance has been issued by the </w:t>
      </w:r>
      <w:r w:rsidR="006F7DAA" w:rsidRPr="0021393F">
        <w:rPr>
          <w:rFonts w:cstheme="minorHAnsi"/>
        </w:rPr>
        <w:t xml:space="preserve">Lead </w:t>
      </w:r>
      <w:r w:rsidRPr="0021393F">
        <w:rPr>
          <w:rFonts w:cstheme="minorHAnsi"/>
        </w:rPr>
        <w:t>Presiding and Designated Civil Judges of the Circuits.  Parties are referred to the respective guidance.</w:t>
      </w:r>
    </w:p>
    <w:p w14:paraId="461EFC30" w14:textId="77777777" w:rsidR="007A6067" w:rsidRPr="007A6067" w:rsidRDefault="007A6067" w:rsidP="007A6067">
      <w:pPr>
        <w:pStyle w:val="ListParagraph"/>
        <w:rPr>
          <w:rFonts w:cstheme="minorHAnsi"/>
        </w:rPr>
      </w:pPr>
    </w:p>
    <w:p w14:paraId="63BD4B36" w14:textId="140C7A6A" w:rsidR="00A43451" w:rsidRPr="007A6067" w:rsidRDefault="007A6067" w:rsidP="0021393F">
      <w:pPr>
        <w:pStyle w:val="ListParagraph"/>
        <w:numPr>
          <w:ilvl w:val="0"/>
          <w:numId w:val="17"/>
        </w:numPr>
        <w:jc w:val="both"/>
        <w:rPr>
          <w:rFonts w:cstheme="minorHAnsi"/>
          <w:b/>
          <w:bCs/>
        </w:rPr>
      </w:pPr>
      <w:r w:rsidRPr="007A6067">
        <w:rPr>
          <w:rFonts w:cstheme="minorHAnsi"/>
          <w:b/>
          <w:bCs/>
        </w:rPr>
        <w:t xml:space="preserve">IMPORTANT: </w:t>
      </w:r>
      <w:r w:rsidR="00977069" w:rsidRPr="007A6067">
        <w:rPr>
          <w:rFonts w:cstheme="minorHAnsi"/>
          <w:b/>
          <w:bCs/>
        </w:rPr>
        <w:t xml:space="preserve">Where the contents of this guidance an </w:t>
      </w:r>
      <w:proofErr w:type="spellStart"/>
      <w:r w:rsidR="00977069" w:rsidRPr="007A6067">
        <w:rPr>
          <w:rFonts w:cstheme="minorHAnsi"/>
          <w:b/>
          <w:bCs/>
        </w:rPr>
        <w:t>an</w:t>
      </w:r>
      <w:proofErr w:type="spellEnd"/>
      <w:r w:rsidR="00977069" w:rsidRPr="007A6067">
        <w:rPr>
          <w:rFonts w:cstheme="minorHAnsi"/>
          <w:b/>
          <w:bCs/>
        </w:rPr>
        <w:t xml:space="preserve"> Order of the Court are in cont</w:t>
      </w:r>
      <w:r w:rsidRPr="007A6067">
        <w:rPr>
          <w:rFonts w:cstheme="minorHAnsi"/>
          <w:b/>
          <w:bCs/>
        </w:rPr>
        <w:t>radiction, the Order of the court must always be followed over the contents of this guidance.</w:t>
      </w:r>
    </w:p>
    <w:p w14:paraId="14929241" w14:textId="77777777" w:rsidR="00A43451" w:rsidRPr="00CC4040" w:rsidRDefault="00A43451" w:rsidP="00E813F1">
      <w:pPr>
        <w:ind w:left="720" w:hanging="720"/>
        <w:jc w:val="both"/>
        <w:rPr>
          <w:rFonts w:cstheme="minorHAnsi"/>
        </w:rPr>
      </w:pPr>
    </w:p>
    <w:p w14:paraId="57224311" w14:textId="77777777" w:rsidR="0021393F" w:rsidRDefault="00A43451" w:rsidP="0021393F">
      <w:pPr>
        <w:pStyle w:val="ListParagraph"/>
        <w:numPr>
          <w:ilvl w:val="0"/>
          <w:numId w:val="17"/>
        </w:numPr>
        <w:jc w:val="both"/>
        <w:rPr>
          <w:rFonts w:cstheme="minorHAnsi"/>
        </w:rPr>
      </w:pPr>
      <w:r w:rsidRPr="0021393F">
        <w:rPr>
          <w:rFonts w:cstheme="minorHAnsi"/>
        </w:rPr>
        <w:t>However:</w:t>
      </w:r>
    </w:p>
    <w:p w14:paraId="5873D331" w14:textId="77777777" w:rsidR="0021393F" w:rsidRPr="0021393F" w:rsidRDefault="0021393F" w:rsidP="0021393F">
      <w:pPr>
        <w:pStyle w:val="ListParagraph"/>
        <w:rPr>
          <w:rFonts w:cstheme="minorHAnsi"/>
        </w:rPr>
      </w:pPr>
    </w:p>
    <w:p w14:paraId="6CE10367" w14:textId="0F4C7FF4" w:rsidR="0021393F" w:rsidRDefault="007F0E3F" w:rsidP="0021393F">
      <w:pPr>
        <w:pStyle w:val="ListParagraph"/>
        <w:numPr>
          <w:ilvl w:val="1"/>
          <w:numId w:val="17"/>
        </w:numPr>
        <w:jc w:val="both"/>
        <w:rPr>
          <w:rFonts w:cstheme="minorHAnsi"/>
        </w:rPr>
      </w:pPr>
      <w:r w:rsidRPr="0021393F">
        <w:rPr>
          <w:rFonts w:cstheme="minorHAnsi"/>
        </w:rPr>
        <w:t xml:space="preserve">it being recognised that </w:t>
      </w:r>
      <w:r w:rsidR="00E813F1" w:rsidRPr="0021393F">
        <w:rPr>
          <w:rFonts w:cstheme="minorHAnsi"/>
        </w:rPr>
        <w:t>there is no reference in the Civil Listing Priorities to the hearings listed below</w:t>
      </w:r>
      <w:r w:rsidR="00A43451" w:rsidRPr="0021393F">
        <w:rPr>
          <w:rFonts w:cstheme="minorHAnsi"/>
        </w:rPr>
        <w:t>; and</w:t>
      </w:r>
    </w:p>
    <w:p w14:paraId="04D57F19" w14:textId="77777777" w:rsidR="0021393F" w:rsidRDefault="0021393F" w:rsidP="0021393F">
      <w:pPr>
        <w:pStyle w:val="ListParagraph"/>
        <w:ind w:left="792"/>
        <w:jc w:val="both"/>
        <w:rPr>
          <w:rFonts w:cstheme="minorHAnsi"/>
        </w:rPr>
      </w:pPr>
    </w:p>
    <w:p w14:paraId="321B2D5F" w14:textId="42A5C771" w:rsidR="00A43451" w:rsidRPr="0021393F" w:rsidRDefault="00A43451" w:rsidP="0021393F">
      <w:pPr>
        <w:pStyle w:val="ListParagraph"/>
        <w:numPr>
          <w:ilvl w:val="1"/>
          <w:numId w:val="17"/>
        </w:numPr>
        <w:jc w:val="both"/>
        <w:rPr>
          <w:rFonts w:cstheme="minorHAnsi"/>
        </w:rPr>
      </w:pPr>
      <w:r w:rsidRPr="0021393F">
        <w:rPr>
          <w:rFonts w:cstheme="minorHAnsi"/>
        </w:rPr>
        <w:t xml:space="preserve">it </w:t>
      </w:r>
      <w:r w:rsidR="007F0E3F" w:rsidRPr="0021393F">
        <w:rPr>
          <w:rFonts w:cstheme="minorHAnsi"/>
        </w:rPr>
        <w:t>being</w:t>
      </w:r>
      <w:r w:rsidRPr="0021393F">
        <w:rPr>
          <w:rFonts w:cstheme="minorHAnsi"/>
        </w:rPr>
        <w:t xml:space="preserve"> considered possible to conduct those hearings remotely</w:t>
      </w:r>
    </w:p>
    <w:p w14:paraId="6FD3AEC2" w14:textId="77777777" w:rsidR="00A43451" w:rsidRPr="00CC4040" w:rsidRDefault="00A43451" w:rsidP="00A43451">
      <w:pPr>
        <w:ind w:left="1440" w:hanging="720"/>
        <w:jc w:val="both"/>
        <w:rPr>
          <w:rFonts w:cstheme="minorHAnsi"/>
        </w:rPr>
      </w:pPr>
    </w:p>
    <w:p w14:paraId="77096E34" w14:textId="17A0AF23" w:rsidR="004820D9" w:rsidRPr="00CC4040" w:rsidRDefault="00E813F1" w:rsidP="00A43451">
      <w:pPr>
        <w:ind w:left="709" w:firstLine="11"/>
        <w:jc w:val="both"/>
        <w:rPr>
          <w:rFonts w:cstheme="minorHAnsi"/>
        </w:rPr>
      </w:pPr>
      <w:r w:rsidRPr="00CC4040">
        <w:rPr>
          <w:rFonts w:cstheme="minorHAnsi"/>
        </w:rPr>
        <w:t xml:space="preserve">it is thought appropriate to outline </w:t>
      </w:r>
      <w:r w:rsidR="001000B2">
        <w:rPr>
          <w:rFonts w:cstheme="minorHAnsi"/>
        </w:rPr>
        <w:t>s</w:t>
      </w:r>
      <w:r w:rsidRPr="00CC4040">
        <w:rPr>
          <w:rFonts w:cstheme="minorHAnsi"/>
        </w:rPr>
        <w:t xml:space="preserve">pecific </w:t>
      </w:r>
      <w:r w:rsidR="001000B2">
        <w:rPr>
          <w:rFonts w:cstheme="minorHAnsi"/>
        </w:rPr>
        <w:t>guidance for the conduct of remote c</w:t>
      </w:r>
      <w:r w:rsidRPr="00CC4040">
        <w:rPr>
          <w:rFonts w:cstheme="minorHAnsi"/>
        </w:rPr>
        <w:t xml:space="preserve">osts </w:t>
      </w:r>
      <w:r w:rsidR="001000B2">
        <w:rPr>
          <w:rFonts w:cstheme="minorHAnsi"/>
        </w:rPr>
        <w:t xml:space="preserve">hearings </w:t>
      </w:r>
      <w:r w:rsidRPr="00CC4040">
        <w:rPr>
          <w:rFonts w:cstheme="minorHAnsi"/>
        </w:rPr>
        <w:t>to deal with the particular challenges brought by those hearings</w:t>
      </w:r>
      <w:r w:rsidR="00A43451" w:rsidRPr="00CC4040">
        <w:rPr>
          <w:rFonts w:cstheme="minorHAnsi"/>
        </w:rPr>
        <w:t xml:space="preserve"> in the Circuits</w:t>
      </w:r>
      <w:r w:rsidRPr="00CC4040">
        <w:rPr>
          <w:rFonts w:cstheme="minorHAnsi"/>
        </w:rPr>
        <w:t xml:space="preserve">.  </w:t>
      </w:r>
      <w:r w:rsidR="001000B2">
        <w:rPr>
          <w:rFonts w:cstheme="minorHAnsi"/>
        </w:rPr>
        <w:t>This document</w:t>
      </w:r>
      <w:r w:rsidRPr="00CC4040">
        <w:rPr>
          <w:rFonts w:cstheme="minorHAnsi"/>
        </w:rPr>
        <w:t xml:space="preserve"> is to be read in conjunction with the aforementioned guidance.</w:t>
      </w:r>
    </w:p>
    <w:p w14:paraId="12DD259F" w14:textId="77777777" w:rsidR="004820D9" w:rsidRPr="00CC4040" w:rsidRDefault="004820D9" w:rsidP="004820D9">
      <w:pPr>
        <w:jc w:val="both"/>
        <w:rPr>
          <w:rFonts w:cstheme="minorHAnsi"/>
        </w:rPr>
      </w:pPr>
    </w:p>
    <w:p w14:paraId="2DEC5092" w14:textId="77777777" w:rsidR="007A6067" w:rsidRDefault="007A6067" w:rsidP="0010457E">
      <w:pPr>
        <w:jc w:val="both"/>
        <w:rPr>
          <w:rFonts w:cstheme="minorHAnsi"/>
          <w:u w:val="single"/>
        </w:rPr>
      </w:pPr>
    </w:p>
    <w:p w14:paraId="35DB89E5" w14:textId="3DC0F10D" w:rsidR="0010457E" w:rsidRPr="00CC4040" w:rsidRDefault="0010457E" w:rsidP="0010457E">
      <w:pPr>
        <w:jc w:val="both"/>
        <w:rPr>
          <w:rFonts w:cstheme="minorHAnsi"/>
          <w:u w:val="single"/>
        </w:rPr>
      </w:pPr>
      <w:r w:rsidRPr="00CC4040">
        <w:rPr>
          <w:rFonts w:cstheme="minorHAnsi"/>
          <w:u w:val="single"/>
        </w:rPr>
        <w:lastRenderedPageBreak/>
        <w:t>Scope</w:t>
      </w:r>
    </w:p>
    <w:p w14:paraId="3D74878C" w14:textId="3A80D4D6" w:rsidR="0010457E" w:rsidRPr="00CC4040" w:rsidRDefault="0010457E" w:rsidP="0010457E">
      <w:pPr>
        <w:jc w:val="both"/>
        <w:rPr>
          <w:rFonts w:cstheme="minorHAnsi"/>
        </w:rPr>
      </w:pPr>
    </w:p>
    <w:p w14:paraId="4AE1CC00" w14:textId="3289DA12" w:rsidR="0021393F" w:rsidRDefault="001000B2" w:rsidP="0021393F">
      <w:pPr>
        <w:pStyle w:val="ListParagraph"/>
        <w:numPr>
          <w:ilvl w:val="0"/>
          <w:numId w:val="17"/>
        </w:numPr>
        <w:jc w:val="both"/>
        <w:rPr>
          <w:rFonts w:cstheme="minorHAnsi"/>
        </w:rPr>
      </w:pPr>
      <w:r>
        <w:rPr>
          <w:rFonts w:cstheme="minorHAnsi"/>
        </w:rPr>
        <w:t xml:space="preserve">This guidance </w:t>
      </w:r>
      <w:r w:rsidR="0010457E" w:rsidRPr="0021393F">
        <w:rPr>
          <w:rFonts w:cstheme="minorHAnsi"/>
        </w:rPr>
        <w:t xml:space="preserve">is intended to </w:t>
      </w:r>
      <w:r w:rsidR="00F72D16" w:rsidRPr="0021393F">
        <w:rPr>
          <w:rFonts w:cstheme="minorHAnsi"/>
        </w:rPr>
        <w:t>address the remote conduct of the following</w:t>
      </w:r>
      <w:r w:rsidR="00E813F1" w:rsidRPr="0021393F">
        <w:rPr>
          <w:rFonts w:cstheme="minorHAnsi"/>
        </w:rPr>
        <w:t xml:space="preserve"> costs</w:t>
      </w:r>
      <w:r w:rsidR="00F72D16" w:rsidRPr="0021393F">
        <w:rPr>
          <w:rFonts w:cstheme="minorHAnsi"/>
        </w:rPr>
        <w:t xml:space="preserve"> hearings throughout the period of the C</w:t>
      </w:r>
      <w:r w:rsidR="00CF2E13" w:rsidRPr="0021393F">
        <w:rPr>
          <w:rFonts w:cstheme="minorHAnsi"/>
        </w:rPr>
        <w:t>ovid</w:t>
      </w:r>
      <w:r w:rsidR="00F72D16" w:rsidRPr="0021393F">
        <w:rPr>
          <w:rFonts w:cstheme="minorHAnsi"/>
        </w:rPr>
        <w:t xml:space="preserve">-19 </w:t>
      </w:r>
      <w:r w:rsidR="00E66FE5" w:rsidRPr="0021393F">
        <w:rPr>
          <w:rFonts w:cstheme="minorHAnsi"/>
        </w:rPr>
        <w:t>p</w:t>
      </w:r>
      <w:r w:rsidR="00F72D16" w:rsidRPr="0021393F">
        <w:rPr>
          <w:rFonts w:cstheme="minorHAnsi"/>
        </w:rPr>
        <w:t>andemic</w:t>
      </w:r>
      <w:r w:rsidR="006D3A6A" w:rsidRPr="0021393F">
        <w:rPr>
          <w:rFonts w:cstheme="minorHAnsi"/>
        </w:rPr>
        <w:t>: -</w:t>
      </w:r>
    </w:p>
    <w:p w14:paraId="05A95B73" w14:textId="77777777" w:rsidR="0021393F" w:rsidRPr="0021393F" w:rsidRDefault="0021393F" w:rsidP="0021393F">
      <w:pPr>
        <w:pStyle w:val="ListParagraph"/>
        <w:ind w:left="360"/>
        <w:jc w:val="both"/>
        <w:rPr>
          <w:rFonts w:cstheme="minorHAnsi"/>
        </w:rPr>
      </w:pPr>
    </w:p>
    <w:p w14:paraId="3C1BD546" w14:textId="12D1BCB1" w:rsidR="0021393F" w:rsidRDefault="00F72D16" w:rsidP="0021393F">
      <w:pPr>
        <w:pStyle w:val="ListParagraph"/>
        <w:numPr>
          <w:ilvl w:val="1"/>
          <w:numId w:val="17"/>
        </w:numPr>
        <w:jc w:val="both"/>
        <w:rPr>
          <w:rFonts w:cstheme="minorHAnsi"/>
        </w:rPr>
      </w:pPr>
      <w:r w:rsidRPr="0021393F">
        <w:rPr>
          <w:rFonts w:cstheme="minorHAnsi"/>
        </w:rPr>
        <w:t>Detailed assessment hearings</w:t>
      </w:r>
      <w:r w:rsidR="00F522E9" w:rsidRPr="0021393F">
        <w:rPr>
          <w:rFonts w:cstheme="minorHAnsi"/>
        </w:rPr>
        <w:t>.</w:t>
      </w:r>
    </w:p>
    <w:p w14:paraId="1340991C" w14:textId="77777777" w:rsidR="0021393F" w:rsidRDefault="0021393F" w:rsidP="0021393F">
      <w:pPr>
        <w:pStyle w:val="ListParagraph"/>
        <w:ind w:left="792"/>
        <w:jc w:val="both"/>
        <w:rPr>
          <w:rFonts w:cstheme="minorHAnsi"/>
        </w:rPr>
      </w:pPr>
    </w:p>
    <w:p w14:paraId="6B556BDD" w14:textId="77777777" w:rsidR="0021393F" w:rsidRDefault="00EF2B47" w:rsidP="0021393F">
      <w:pPr>
        <w:pStyle w:val="ListParagraph"/>
        <w:numPr>
          <w:ilvl w:val="1"/>
          <w:numId w:val="17"/>
        </w:numPr>
        <w:jc w:val="both"/>
        <w:rPr>
          <w:rFonts w:cstheme="minorHAnsi"/>
        </w:rPr>
      </w:pPr>
      <w:r w:rsidRPr="0021393F">
        <w:rPr>
          <w:rFonts w:cstheme="minorHAnsi"/>
        </w:rPr>
        <w:t>O</w:t>
      </w:r>
      <w:r w:rsidR="00F72D16" w:rsidRPr="0021393F">
        <w:rPr>
          <w:rFonts w:cstheme="minorHAnsi"/>
        </w:rPr>
        <w:t>ral review</w:t>
      </w:r>
      <w:r w:rsidRPr="0021393F">
        <w:rPr>
          <w:rFonts w:cstheme="minorHAnsi"/>
        </w:rPr>
        <w:t xml:space="preserve"> hearings</w:t>
      </w:r>
      <w:r w:rsidR="00F72D16" w:rsidRPr="0021393F">
        <w:rPr>
          <w:rFonts w:cstheme="minorHAnsi"/>
        </w:rPr>
        <w:t xml:space="preserve"> of</w:t>
      </w:r>
      <w:r w:rsidRPr="0021393F">
        <w:rPr>
          <w:rFonts w:cstheme="minorHAnsi"/>
        </w:rPr>
        <w:t xml:space="preserve"> </w:t>
      </w:r>
      <w:r w:rsidR="00F72D16" w:rsidRPr="0021393F">
        <w:rPr>
          <w:rFonts w:cstheme="minorHAnsi"/>
        </w:rPr>
        <w:t>provisional assessment</w:t>
      </w:r>
      <w:r w:rsidRPr="0021393F">
        <w:rPr>
          <w:rFonts w:cstheme="minorHAnsi"/>
        </w:rPr>
        <w:t>s</w:t>
      </w:r>
      <w:r w:rsidR="00F72D16" w:rsidRPr="0021393F">
        <w:rPr>
          <w:rFonts w:cstheme="minorHAnsi"/>
        </w:rPr>
        <w:t xml:space="preserve"> listed pursuant to a CPR 47.15(7) request</w:t>
      </w:r>
      <w:r w:rsidR="00F522E9" w:rsidRPr="0021393F">
        <w:rPr>
          <w:rFonts w:cstheme="minorHAnsi"/>
        </w:rPr>
        <w:t>.</w:t>
      </w:r>
    </w:p>
    <w:p w14:paraId="4717E164" w14:textId="77777777" w:rsidR="0021393F" w:rsidRPr="0021393F" w:rsidRDefault="0021393F" w:rsidP="0021393F">
      <w:pPr>
        <w:pStyle w:val="ListParagraph"/>
        <w:rPr>
          <w:rFonts w:cstheme="minorHAnsi"/>
        </w:rPr>
      </w:pPr>
    </w:p>
    <w:p w14:paraId="4B47F39C" w14:textId="5DDBCA80" w:rsidR="00F72D16" w:rsidRDefault="00F72D16" w:rsidP="0021393F">
      <w:pPr>
        <w:pStyle w:val="ListParagraph"/>
        <w:numPr>
          <w:ilvl w:val="1"/>
          <w:numId w:val="17"/>
        </w:numPr>
        <w:jc w:val="both"/>
        <w:rPr>
          <w:rFonts w:cstheme="minorHAnsi"/>
        </w:rPr>
      </w:pPr>
      <w:r w:rsidRPr="0021393F">
        <w:rPr>
          <w:rFonts w:cstheme="minorHAnsi"/>
        </w:rPr>
        <w:t>Application</w:t>
      </w:r>
      <w:r w:rsidR="00EF2B47" w:rsidRPr="0021393F">
        <w:rPr>
          <w:rFonts w:cstheme="minorHAnsi"/>
        </w:rPr>
        <w:t xml:space="preserve"> hearings</w:t>
      </w:r>
      <w:r w:rsidRPr="0021393F">
        <w:rPr>
          <w:rFonts w:cstheme="minorHAnsi"/>
        </w:rPr>
        <w:t xml:space="preserve"> </w:t>
      </w:r>
      <w:r w:rsidR="00EF2B47" w:rsidRPr="0021393F">
        <w:rPr>
          <w:rFonts w:cstheme="minorHAnsi"/>
        </w:rPr>
        <w:t xml:space="preserve">in which </w:t>
      </w:r>
      <w:r w:rsidRPr="0021393F">
        <w:rPr>
          <w:rFonts w:cstheme="minorHAnsi"/>
        </w:rPr>
        <w:t xml:space="preserve">the </w:t>
      </w:r>
      <w:r w:rsidR="00971C85">
        <w:rPr>
          <w:rFonts w:cstheme="minorHAnsi"/>
        </w:rPr>
        <w:t>c</w:t>
      </w:r>
      <w:r w:rsidRPr="0021393F">
        <w:rPr>
          <w:rFonts w:cstheme="minorHAnsi"/>
        </w:rPr>
        <w:t xml:space="preserve">ourt </w:t>
      </w:r>
      <w:r w:rsidR="00EF2B47" w:rsidRPr="0021393F">
        <w:rPr>
          <w:rFonts w:cstheme="minorHAnsi"/>
        </w:rPr>
        <w:t>is invited to</w:t>
      </w:r>
      <w:r w:rsidRPr="0021393F">
        <w:rPr>
          <w:rFonts w:cstheme="minorHAnsi"/>
        </w:rPr>
        <w:t xml:space="preserve"> certify an amount payable from a child or protected party’s damages pursuant to CPR 46.4(4)</w:t>
      </w:r>
      <w:r w:rsidR="00F522E9" w:rsidRPr="0021393F">
        <w:rPr>
          <w:rFonts w:cstheme="minorHAnsi"/>
        </w:rPr>
        <w:t>.</w:t>
      </w:r>
    </w:p>
    <w:p w14:paraId="67ADE314" w14:textId="77777777" w:rsidR="007A6067" w:rsidRPr="007A6067" w:rsidRDefault="007A6067" w:rsidP="007A6067">
      <w:pPr>
        <w:pStyle w:val="ListParagraph"/>
        <w:rPr>
          <w:rFonts w:cstheme="minorHAnsi"/>
        </w:rPr>
      </w:pPr>
    </w:p>
    <w:p w14:paraId="53F48C0E" w14:textId="0C4BAFA1" w:rsidR="007A6067" w:rsidRPr="0021393F" w:rsidRDefault="007A6067" w:rsidP="007A6067">
      <w:pPr>
        <w:pStyle w:val="ListParagraph"/>
        <w:numPr>
          <w:ilvl w:val="0"/>
          <w:numId w:val="17"/>
        </w:numPr>
        <w:jc w:val="both"/>
        <w:rPr>
          <w:rFonts w:cstheme="minorHAnsi"/>
        </w:rPr>
      </w:pPr>
      <w:r>
        <w:rPr>
          <w:rFonts w:cstheme="minorHAnsi"/>
        </w:rPr>
        <w:t>This guidance is likely to apply only where all parties are legally represented.</w:t>
      </w:r>
    </w:p>
    <w:p w14:paraId="558C4791" w14:textId="5E3FE450" w:rsidR="00F72D16" w:rsidRPr="00CC4040" w:rsidRDefault="00F72D16" w:rsidP="00F72D16">
      <w:pPr>
        <w:jc w:val="both"/>
        <w:rPr>
          <w:rFonts w:cstheme="minorHAnsi"/>
        </w:rPr>
      </w:pPr>
    </w:p>
    <w:p w14:paraId="04E1656B" w14:textId="0F117D8E" w:rsidR="00F72D16" w:rsidRPr="00CC4040" w:rsidRDefault="00035D0D" w:rsidP="00F72D16">
      <w:pPr>
        <w:jc w:val="both"/>
        <w:rPr>
          <w:rFonts w:cstheme="minorHAnsi"/>
          <w:u w:val="single"/>
        </w:rPr>
      </w:pPr>
      <w:r w:rsidRPr="00CC4040">
        <w:rPr>
          <w:rFonts w:cstheme="minorHAnsi"/>
          <w:u w:val="single"/>
        </w:rPr>
        <w:t>Communication</w:t>
      </w:r>
    </w:p>
    <w:p w14:paraId="4F797C54" w14:textId="02A37132" w:rsidR="00035D0D" w:rsidRPr="00CC4040" w:rsidRDefault="00035D0D" w:rsidP="00F72D16">
      <w:pPr>
        <w:jc w:val="both"/>
        <w:rPr>
          <w:rFonts w:cstheme="minorHAnsi"/>
        </w:rPr>
      </w:pPr>
    </w:p>
    <w:p w14:paraId="1D12CD2D" w14:textId="3DBFF4D5" w:rsidR="0021393F" w:rsidRPr="0021393F" w:rsidRDefault="00035D0D" w:rsidP="00F72D16">
      <w:pPr>
        <w:pStyle w:val="ListParagraph"/>
        <w:numPr>
          <w:ilvl w:val="0"/>
          <w:numId w:val="17"/>
        </w:numPr>
        <w:jc w:val="both"/>
        <w:rPr>
          <w:rFonts w:cstheme="minorHAnsi"/>
          <w:b/>
          <w:bCs/>
          <w:i/>
          <w:iCs/>
        </w:rPr>
      </w:pPr>
      <w:r w:rsidRPr="0021393F">
        <w:rPr>
          <w:rFonts w:cstheme="minorHAnsi"/>
        </w:rPr>
        <w:t xml:space="preserve">Parties </w:t>
      </w:r>
      <w:r w:rsidR="001000B2">
        <w:rPr>
          <w:rFonts w:cstheme="minorHAnsi"/>
        </w:rPr>
        <w:t xml:space="preserve">should </w:t>
      </w:r>
      <w:r w:rsidRPr="0021393F">
        <w:rPr>
          <w:rFonts w:cstheme="minorHAnsi"/>
        </w:rPr>
        <w:t>communicate with the court by email.</w:t>
      </w:r>
    </w:p>
    <w:p w14:paraId="7BD6958E" w14:textId="77777777" w:rsidR="0021393F" w:rsidRPr="0021393F" w:rsidRDefault="0021393F" w:rsidP="0021393F">
      <w:pPr>
        <w:pStyle w:val="ListParagraph"/>
        <w:ind w:left="360"/>
        <w:jc w:val="both"/>
        <w:rPr>
          <w:rFonts w:cstheme="minorHAnsi"/>
          <w:b/>
          <w:bCs/>
          <w:i/>
          <w:iCs/>
        </w:rPr>
      </w:pPr>
    </w:p>
    <w:p w14:paraId="68F82973" w14:textId="0325D0D1" w:rsidR="0021393F" w:rsidRPr="007A6067" w:rsidRDefault="00A93B1E" w:rsidP="007A6067">
      <w:pPr>
        <w:pStyle w:val="ListParagraph"/>
        <w:numPr>
          <w:ilvl w:val="0"/>
          <w:numId w:val="17"/>
        </w:numPr>
        <w:jc w:val="both"/>
        <w:rPr>
          <w:rFonts w:cstheme="minorHAnsi"/>
          <w:b/>
          <w:bCs/>
          <w:i/>
          <w:iCs/>
        </w:rPr>
      </w:pPr>
      <w:r w:rsidRPr="0021393F">
        <w:rPr>
          <w:rFonts w:cstheme="minorHAnsi"/>
        </w:rPr>
        <w:t>All e</w:t>
      </w:r>
      <w:r w:rsidR="00035D0D" w:rsidRPr="0021393F">
        <w:rPr>
          <w:rFonts w:cstheme="minorHAnsi"/>
        </w:rPr>
        <w:t>mails must contain the following information in the subject line:</w:t>
      </w:r>
      <w:r w:rsidR="0021393F">
        <w:rPr>
          <w:rFonts w:cstheme="minorHAnsi"/>
        </w:rPr>
        <w:t xml:space="preserve"> -</w:t>
      </w:r>
    </w:p>
    <w:p w14:paraId="3C94BE35" w14:textId="77777777" w:rsidR="0021393F" w:rsidRPr="0021393F" w:rsidRDefault="00A93B1E" w:rsidP="0021393F">
      <w:pPr>
        <w:pStyle w:val="ListParagraph"/>
        <w:numPr>
          <w:ilvl w:val="1"/>
          <w:numId w:val="17"/>
        </w:numPr>
        <w:jc w:val="both"/>
        <w:rPr>
          <w:rFonts w:cstheme="minorHAnsi"/>
          <w:b/>
          <w:bCs/>
          <w:i/>
          <w:iCs/>
        </w:rPr>
      </w:pPr>
      <w:r w:rsidRPr="0021393F">
        <w:rPr>
          <w:rFonts w:cstheme="minorHAnsi"/>
        </w:rPr>
        <w:t>T</w:t>
      </w:r>
      <w:r w:rsidR="00035D0D" w:rsidRPr="0021393F">
        <w:rPr>
          <w:rFonts w:cstheme="minorHAnsi"/>
        </w:rPr>
        <w:t>he claim number</w:t>
      </w:r>
      <w:r w:rsidRPr="0021393F">
        <w:rPr>
          <w:rFonts w:cstheme="minorHAnsi"/>
        </w:rPr>
        <w:t>;</w:t>
      </w:r>
    </w:p>
    <w:p w14:paraId="7A2993E6" w14:textId="77777777" w:rsidR="0021393F" w:rsidRPr="0021393F" w:rsidRDefault="00A93B1E" w:rsidP="00F72D16">
      <w:pPr>
        <w:pStyle w:val="ListParagraph"/>
        <w:numPr>
          <w:ilvl w:val="1"/>
          <w:numId w:val="17"/>
        </w:numPr>
        <w:jc w:val="both"/>
        <w:rPr>
          <w:rFonts w:cstheme="minorHAnsi"/>
          <w:b/>
          <w:bCs/>
          <w:i/>
          <w:iCs/>
        </w:rPr>
      </w:pPr>
      <w:r w:rsidRPr="0021393F">
        <w:rPr>
          <w:rFonts w:cstheme="minorHAnsi"/>
        </w:rPr>
        <w:t>The claim name;</w:t>
      </w:r>
    </w:p>
    <w:p w14:paraId="3902BC19" w14:textId="3471507D" w:rsidR="00C45E01" w:rsidRPr="0021393F" w:rsidRDefault="00A93B1E" w:rsidP="00F72D16">
      <w:pPr>
        <w:pStyle w:val="ListParagraph"/>
        <w:numPr>
          <w:ilvl w:val="1"/>
          <w:numId w:val="17"/>
        </w:numPr>
        <w:jc w:val="both"/>
        <w:rPr>
          <w:rFonts w:cstheme="minorHAnsi"/>
          <w:b/>
          <w:bCs/>
          <w:i/>
          <w:iCs/>
        </w:rPr>
      </w:pPr>
      <w:r w:rsidRPr="0021393F">
        <w:rPr>
          <w:rFonts w:cstheme="minorHAnsi"/>
        </w:rPr>
        <w:t>T</w:t>
      </w:r>
      <w:r w:rsidR="00035D0D" w:rsidRPr="0021393F">
        <w:rPr>
          <w:rFonts w:cstheme="minorHAnsi"/>
        </w:rPr>
        <w:t xml:space="preserve">he </w:t>
      </w:r>
      <w:r w:rsidRPr="0021393F">
        <w:rPr>
          <w:rFonts w:cstheme="minorHAnsi"/>
        </w:rPr>
        <w:t xml:space="preserve">time and </w:t>
      </w:r>
      <w:r w:rsidR="00035D0D" w:rsidRPr="0021393F">
        <w:rPr>
          <w:rFonts w:cstheme="minorHAnsi"/>
        </w:rPr>
        <w:t>date of the hearing</w:t>
      </w:r>
      <w:r w:rsidRPr="0021393F">
        <w:rPr>
          <w:rFonts w:cstheme="minorHAnsi"/>
        </w:rPr>
        <w:t>.</w:t>
      </w:r>
    </w:p>
    <w:p w14:paraId="34E5A7C9" w14:textId="01F2FE4F" w:rsidR="00035D0D" w:rsidRPr="00CC4040" w:rsidRDefault="00035D0D" w:rsidP="00F72D16">
      <w:pPr>
        <w:jc w:val="both"/>
        <w:rPr>
          <w:rFonts w:cstheme="minorHAnsi"/>
        </w:rPr>
      </w:pPr>
    </w:p>
    <w:p w14:paraId="6212D545" w14:textId="3C842512" w:rsidR="00035D0D" w:rsidRPr="00CC4040" w:rsidRDefault="007A4E00" w:rsidP="00F72D16">
      <w:pPr>
        <w:jc w:val="both"/>
        <w:rPr>
          <w:rFonts w:cstheme="minorHAnsi"/>
          <w:u w:val="single"/>
        </w:rPr>
      </w:pPr>
      <w:r w:rsidRPr="00CC4040">
        <w:rPr>
          <w:rFonts w:cstheme="minorHAnsi"/>
          <w:u w:val="single"/>
        </w:rPr>
        <w:t xml:space="preserve">Request </w:t>
      </w:r>
      <w:r w:rsidR="00C45E01" w:rsidRPr="00CC4040">
        <w:rPr>
          <w:rFonts w:cstheme="minorHAnsi"/>
          <w:u w:val="single"/>
        </w:rPr>
        <w:t>Procedure</w:t>
      </w:r>
    </w:p>
    <w:p w14:paraId="0688B3DE" w14:textId="77777777" w:rsidR="00035D0D" w:rsidRPr="00CC4040" w:rsidRDefault="00035D0D" w:rsidP="00F72D16">
      <w:pPr>
        <w:jc w:val="both"/>
        <w:rPr>
          <w:rFonts w:cstheme="minorHAnsi"/>
        </w:rPr>
      </w:pPr>
    </w:p>
    <w:p w14:paraId="0BD786FB" w14:textId="5FBA793B" w:rsidR="0021393F" w:rsidRDefault="00C45E01" w:rsidP="0021393F">
      <w:pPr>
        <w:pStyle w:val="ListParagraph"/>
        <w:numPr>
          <w:ilvl w:val="0"/>
          <w:numId w:val="17"/>
        </w:numPr>
        <w:jc w:val="both"/>
        <w:rPr>
          <w:rFonts w:cstheme="minorHAnsi"/>
        </w:rPr>
      </w:pPr>
      <w:r w:rsidRPr="0021393F">
        <w:rPr>
          <w:rFonts w:cstheme="minorHAnsi"/>
        </w:rPr>
        <w:t xml:space="preserve">Where a hearing date has been </w:t>
      </w:r>
      <w:r w:rsidR="00A97E8E" w:rsidRPr="0021393F">
        <w:rPr>
          <w:rFonts w:cstheme="minorHAnsi"/>
        </w:rPr>
        <w:t>requested (to include cases where a hearing date has been fixed, or was fixed and has been adjourned in light of the Covid-19 pandemic)</w:t>
      </w:r>
      <w:r w:rsidRPr="0021393F">
        <w:rPr>
          <w:rFonts w:cstheme="minorHAnsi"/>
        </w:rPr>
        <w:t>, t</w:t>
      </w:r>
      <w:r w:rsidR="00035D0D" w:rsidRPr="0021393F">
        <w:rPr>
          <w:rFonts w:cstheme="minorHAnsi"/>
        </w:rPr>
        <w:t xml:space="preserve">he parties </w:t>
      </w:r>
      <w:r w:rsidR="001000B2">
        <w:rPr>
          <w:rFonts w:cstheme="minorHAnsi"/>
        </w:rPr>
        <w:t>should</w:t>
      </w:r>
      <w:r w:rsidR="00471C09" w:rsidRPr="0021393F">
        <w:rPr>
          <w:rFonts w:cstheme="minorHAnsi"/>
        </w:rPr>
        <w:t xml:space="preserve"> </w:t>
      </w:r>
      <w:r w:rsidR="00035D0D" w:rsidRPr="0021393F">
        <w:rPr>
          <w:rFonts w:cstheme="minorHAnsi"/>
        </w:rPr>
        <w:t>as soon as practicable</w:t>
      </w:r>
      <w:r w:rsidR="00471C09" w:rsidRPr="0021393F">
        <w:rPr>
          <w:rFonts w:cstheme="minorHAnsi"/>
        </w:rPr>
        <w:t xml:space="preserve"> </w:t>
      </w:r>
      <w:r w:rsidR="00035D0D" w:rsidRPr="0021393F">
        <w:rPr>
          <w:rFonts w:cstheme="minorHAnsi"/>
        </w:rPr>
        <w:t xml:space="preserve">communicate with each other and </w:t>
      </w:r>
      <w:r w:rsidR="007A4E00" w:rsidRPr="0021393F">
        <w:rPr>
          <w:rFonts w:cstheme="minorHAnsi"/>
        </w:rPr>
        <w:t>seek to agree</w:t>
      </w:r>
      <w:r w:rsidR="005D5933" w:rsidRPr="0021393F">
        <w:rPr>
          <w:rFonts w:cstheme="minorHAnsi"/>
        </w:rPr>
        <w:t>:</w:t>
      </w:r>
    </w:p>
    <w:p w14:paraId="229E96B8" w14:textId="77777777" w:rsidR="0021393F" w:rsidRPr="0021393F" w:rsidRDefault="0021393F" w:rsidP="0021393F">
      <w:pPr>
        <w:pStyle w:val="ListParagraph"/>
        <w:ind w:left="360"/>
        <w:jc w:val="both"/>
        <w:rPr>
          <w:rFonts w:cstheme="minorHAnsi"/>
        </w:rPr>
      </w:pPr>
    </w:p>
    <w:p w14:paraId="64175C30" w14:textId="77777777" w:rsidR="0021393F" w:rsidRDefault="007A4E00" w:rsidP="0021393F">
      <w:pPr>
        <w:pStyle w:val="ListParagraph"/>
        <w:numPr>
          <w:ilvl w:val="1"/>
          <w:numId w:val="17"/>
        </w:numPr>
        <w:jc w:val="both"/>
        <w:rPr>
          <w:rFonts w:cstheme="minorHAnsi"/>
        </w:rPr>
      </w:pPr>
      <w:r w:rsidRPr="0021393F">
        <w:rPr>
          <w:rFonts w:cstheme="minorHAnsi"/>
        </w:rPr>
        <w:t>a</w:t>
      </w:r>
      <w:r w:rsidR="00035D0D" w:rsidRPr="0021393F">
        <w:rPr>
          <w:rFonts w:cstheme="minorHAnsi"/>
        </w:rPr>
        <w:t xml:space="preserve"> mode of remote hearing</w:t>
      </w:r>
      <w:r w:rsidRPr="0021393F">
        <w:rPr>
          <w:rFonts w:cstheme="minorHAnsi"/>
        </w:rPr>
        <w:t xml:space="preserve"> including suggested platform;</w:t>
      </w:r>
    </w:p>
    <w:p w14:paraId="0755C6C6" w14:textId="23FE0BCC" w:rsidR="00C45E01" w:rsidRPr="0021393F" w:rsidRDefault="00C45E01" w:rsidP="0021393F">
      <w:pPr>
        <w:pStyle w:val="ListParagraph"/>
        <w:numPr>
          <w:ilvl w:val="1"/>
          <w:numId w:val="17"/>
        </w:numPr>
        <w:jc w:val="both"/>
        <w:rPr>
          <w:rFonts w:cstheme="minorHAnsi"/>
        </w:rPr>
      </w:pPr>
      <w:r w:rsidRPr="0021393F">
        <w:rPr>
          <w:rFonts w:cstheme="minorHAnsi"/>
        </w:rPr>
        <w:t>the scope of the remote hearing</w:t>
      </w:r>
      <w:r w:rsidR="007A4E00" w:rsidRPr="0021393F">
        <w:rPr>
          <w:rFonts w:cstheme="minorHAnsi"/>
        </w:rPr>
        <w:t>;</w:t>
      </w:r>
    </w:p>
    <w:p w14:paraId="7AC536A0" w14:textId="319FC5A1" w:rsidR="00035D0D" w:rsidRPr="00CC4040" w:rsidRDefault="00035D0D" w:rsidP="00C45E01">
      <w:pPr>
        <w:jc w:val="both"/>
        <w:rPr>
          <w:rFonts w:cstheme="minorHAnsi"/>
        </w:rPr>
      </w:pPr>
    </w:p>
    <w:p w14:paraId="1FE45917" w14:textId="6E4E5C38" w:rsidR="0021393F" w:rsidRDefault="00A97E8E" w:rsidP="0021393F">
      <w:pPr>
        <w:pStyle w:val="ListParagraph"/>
        <w:numPr>
          <w:ilvl w:val="0"/>
          <w:numId w:val="17"/>
        </w:numPr>
        <w:jc w:val="both"/>
        <w:rPr>
          <w:rFonts w:cstheme="minorHAnsi"/>
        </w:rPr>
      </w:pPr>
      <w:r w:rsidRPr="0021393F">
        <w:rPr>
          <w:rFonts w:cstheme="minorHAnsi"/>
        </w:rPr>
        <w:t>Once a hearing date has been fixed, t</w:t>
      </w:r>
      <w:r w:rsidR="00035D0D" w:rsidRPr="0021393F">
        <w:rPr>
          <w:rFonts w:cstheme="minorHAnsi"/>
        </w:rPr>
        <w:t xml:space="preserve">he parties </w:t>
      </w:r>
      <w:r w:rsidR="001000B2">
        <w:rPr>
          <w:rFonts w:cstheme="minorHAnsi"/>
        </w:rPr>
        <w:t>should</w:t>
      </w:r>
      <w:r w:rsidR="00471C09" w:rsidRPr="0021393F">
        <w:rPr>
          <w:rFonts w:cstheme="minorHAnsi"/>
        </w:rPr>
        <w:t xml:space="preserve">, not less than </w:t>
      </w:r>
      <w:r w:rsidR="001000B2" w:rsidRPr="001000B2">
        <w:rPr>
          <w:rFonts w:cstheme="minorHAnsi"/>
        </w:rPr>
        <w:t xml:space="preserve">20 business </w:t>
      </w:r>
      <w:r w:rsidR="00471C09" w:rsidRPr="001000B2">
        <w:rPr>
          <w:rFonts w:cstheme="minorHAnsi"/>
        </w:rPr>
        <w:t>days</w:t>
      </w:r>
      <w:r w:rsidR="00471C09" w:rsidRPr="0021393F">
        <w:rPr>
          <w:rFonts w:cstheme="minorHAnsi"/>
        </w:rPr>
        <w:t xml:space="preserve"> </w:t>
      </w:r>
      <w:r w:rsidR="00A914C0" w:rsidRPr="0021393F">
        <w:rPr>
          <w:rFonts w:cstheme="minorHAnsi"/>
        </w:rPr>
        <w:t>prior to the date fixed for</w:t>
      </w:r>
      <w:r w:rsidR="00471C09" w:rsidRPr="0021393F">
        <w:rPr>
          <w:rFonts w:cstheme="minorHAnsi"/>
        </w:rPr>
        <w:t xml:space="preserve"> </w:t>
      </w:r>
      <w:r w:rsidRPr="0021393F">
        <w:rPr>
          <w:rFonts w:cstheme="minorHAnsi"/>
        </w:rPr>
        <w:t xml:space="preserve">the </w:t>
      </w:r>
      <w:r w:rsidR="00471C09" w:rsidRPr="0021393F">
        <w:rPr>
          <w:rFonts w:cstheme="minorHAnsi"/>
        </w:rPr>
        <w:t>hearing, or (</w:t>
      </w:r>
      <w:r w:rsidR="00A2061A" w:rsidRPr="0021393F">
        <w:rPr>
          <w:rFonts w:cstheme="minorHAnsi"/>
        </w:rPr>
        <w:t>if this is not possible due to the proximity of the hearing</w:t>
      </w:r>
      <w:r w:rsidR="00471C09" w:rsidRPr="0021393F">
        <w:rPr>
          <w:rFonts w:cstheme="minorHAnsi"/>
        </w:rPr>
        <w:t xml:space="preserve">, </w:t>
      </w:r>
      <w:r w:rsidR="00035D0D" w:rsidRPr="0021393F">
        <w:rPr>
          <w:rFonts w:cstheme="minorHAnsi"/>
        </w:rPr>
        <w:t>as soon as practicable</w:t>
      </w:r>
      <w:r w:rsidRPr="0021393F">
        <w:rPr>
          <w:rFonts w:cstheme="minorHAnsi"/>
        </w:rPr>
        <w:t>)</w:t>
      </w:r>
      <w:r w:rsidR="00C45E01" w:rsidRPr="0021393F">
        <w:rPr>
          <w:rFonts w:cstheme="minorHAnsi"/>
        </w:rPr>
        <w:t>,</w:t>
      </w:r>
      <w:r w:rsidR="00035D0D" w:rsidRPr="0021393F">
        <w:rPr>
          <w:rFonts w:cstheme="minorHAnsi"/>
        </w:rPr>
        <w:t xml:space="preserve"> communicate with the court with a request for approval of the mode</w:t>
      </w:r>
      <w:r w:rsidR="0066393B" w:rsidRPr="0021393F">
        <w:rPr>
          <w:rFonts w:cstheme="minorHAnsi"/>
        </w:rPr>
        <w:t xml:space="preserve">, </w:t>
      </w:r>
      <w:r w:rsidR="007A4E00" w:rsidRPr="0021393F">
        <w:rPr>
          <w:rFonts w:cstheme="minorHAnsi"/>
        </w:rPr>
        <w:t>platform</w:t>
      </w:r>
      <w:r w:rsidR="00035D0D" w:rsidRPr="0021393F">
        <w:rPr>
          <w:rFonts w:cstheme="minorHAnsi"/>
        </w:rPr>
        <w:t xml:space="preserve"> </w:t>
      </w:r>
      <w:r w:rsidR="00C45E01" w:rsidRPr="0021393F">
        <w:rPr>
          <w:rFonts w:cstheme="minorHAnsi"/>
        </w:rPr>
        <w:t xml:space="preserve">and, if applicable, scope </w:t>
      </w:r>
      <w:r w:rsidR="00035D0D" w:rsidRPr="0021393F">
        <w:rPr>
          <w:rFonts w:cstheme="minorHAnsi"/>
        </w:rPr>
        <w:t>of remote hearing.</w:t>
      </w:r>
      <w:r w:rsidR="007A4E00" w:rsidRPr="0021393F">
        <w:rPr>
          <w:rFonts w:cstheme="minorHAnsi"/>
        </w:rPr>
        <w:t xml:space="preserve">  </w:t>
      </w:r>
    </w:p>
    <w:p w14:paraId="5D08693B" w14:textId="77777777" w:rsidR="0021393F" w:rsidRDefault="0021393F" w:rsidP="0021393F">
      <w:pPr>
        <w:pStyle w:val="ListParagraph"/>
        <w:ind w:left="360"/>
        <w:jc w:val="both"/>
        <w:rPr>
          <w:rFonts w:cstheme="minorHAnsi"/>
        </w:rPr>
      </w:pPr>
    </w:p>
    <w:p w14:paraId="4EE57588" w14:textId="77777777" w:rsidR="0021393F" w:rsidRDefault="007A4E00" w:rsidP="0021393F">
      <w:pPr>
        <w:pStyle w:val="ListParagraph"/>
        <w:numPr>
          <w:ilvl w:val="0"/>
          <w:numId w:val="17"/>
        </w:numPr>
        <w:jc w:val="both"/>
        <w:rPr>
          <w:rFonts w:cstheme="minorHAnsi"/>
        </w:rPr>
      </w:pPr>
      <w:r w:rsidRPr="0021393F">
        <w:rPr>
          <w:rFonts w:cstheme="minorHAnsi"/>
        </w:rPr>
        <w:t xml:space="preserve">Where it is </w:t>
      </w:r>
      <w:r w:rsidR="00A17829" w:rsidRPr="0021393F">
        <w:rPr>
          <w:rFonts w:cstheme="minorHAnsi"/>
        </w:rPr>
        <w:t>proposed</w:t>
      </w:r>
      <w:r w:rsidRPr="0021393F">
        <w:rPr>
          <w:rFonts w:cstheme="minorHAnsi"/>
        </w:rPr>
        <w:t xml:space="preserve"> that the hearing is to address only preliminary issues, the parties must identify those preliminary issues</w:t>
      </w:r>
      <w:r w:rsidR="00A97E8E" w:rsidRPr="0021393F">
        <w:rPr>
          <w:rFonts w:cstheme="minorHAnsi"/>
        </w:rPr>
        <w:t xml:space="preserve"> by reference to the numbered points of dispute</w:t>
      </w:r>
      <w:r w:rsidRPr="0021393F">
        <w:rPr>
          <w:rFonts w:cstheme="minorHAnsi"/>
        </w:rPr>
        <w:t>.</w:t>
      </w:r>
    </w:p>
    <w:p w14:paraId="53DAC443" w14:textId="77777777" w:rsidR="0021393F" w:rsidRPr="0021393F" w:rsidRDefault="0021393F" w:rsidP="0021393F">
      <w:pPr>
        <w:pStyle w:val="ListParagraph"/>
        <w:rPr>
          <w:rFonts w:cstheme="minorHAnsi"/>
        </w:rPr>
      </w:pPr>
    </w:p>
    <w:p w14:paraId="3C9B290C" w14:textId="46178624" w:rsidR="0021393F" w:rsidRDefault="0021393F" w:rsidP="0021393F">
      <w:pPr>
        <w:pStyle w:val="ListParagraph"/>
        <w:numPr>
          <w:ilvl w:val="0"/>
          <w:numId w:val="17"/>
        </w:numPr>
        <w:jc w:val="both"/>
        <w:rPr>
          <w:rFonts w:cstheme="minorHAnsi"/>
        </w:rPr>
      </w:pPr>
      <w:r w:rsidRPr="0021393F">
        <w:rPr>
          <w:rFonts w:cstheme="minorHAnsi"/>
        </w:rPr>
        <w:t xml:space="preserve"> </w:t>
      </w:r>
      <w:r w:rsidR="00471C09" w:rsidRPr="0021393F">
        <w:rPr>
          <w:rFonts w:cstheme="minorHAnsi"/>
        </w:rPr>
        <w:t xml:space="preserve">In the event that the parties fail to reach agreement as to the matters in </w:t>
      </w:r>
      <w:r w:rsidR="00471C09" w:rsidRPr="001000B2">
        <w:rPr>
          <w:rFonts w:cstheme="minorHAnsi"/>
        </w:rPr>
        <w:t xml:space="preserve">paragraph </w:t>
      </w:r>
      <w:r w:rsidR="007A6067">
        <w:rPr>
          <w:rFonts w:cstheme="minorHAnsi"/>
        </w:rPr>
        <w:t>10</w:t>
      </w:r>
      <w:r w:rsidR="00471C09" w:rsidRPr="0021393F">
        <w:rPr>
          <w:rFonts w:cstheme="minorHAnsi"/>
        </w:rPr>
        <w:t xml:space="preserve"> above</w:t>
      </w:r>
      <w:r w:rsidR="003E072B" w:rsidRPr="0021393F">
        <w:rPr>
          <w:rFonts w:cstheme="minorHAnsi"/>
        </w:rPr>
        <w:t xml:space="preserve"> (including if one or both of the parties would prefer to be listed for an hearing in person once the </w:t>
      </w:r>
      <w:r w:rsidR="00CF2E13" w:rsidRPr="0021393F">
        <w:rPr>
          <w:rFonts w:cstheme="minorHAnsi"/>
        </w:rPr>
        <w:t xml:space="preserve">Covid-19 </w:t>
      </w:r>
      <w:r w:rsidR="003E072B" w:rsidRPr="0021393F">
        <w:rPr>
          <w:rFonts w:cstheme="minorHAnsi"/>
        </w:rPr>
        <w:t>pandemic resolves)</w:t>
      </w:r>
      <w:r w:rsidR="00471C09" w:rsidRPr="0021393F">
        <w:rPr>
          <w:rFonts w:cstheme="minorHAnsi"/>
        </w:rPr>
        <w:t xml:space="preserve">, the parties will </w:t>
      </w:r>
      <w:r w:rsidR="007A6067">
        <w:rPr>
          <w:rFonts w:cstheme="minorHAnsi"/>
        </w:rPr>
        <w:t>email</w:t>
      </w:r>
      <w:r w:rsidR="00471C09" w:rsidRPr="0021393F">
        <w:rPr>
          <w:rFonts w:cstheme="minorHAnsi"/>
        </w:rPr>
        <w:t xml:space="preserve"> the court </w:t>
      </w:r>
      <w:r w:rsidR="00A2061A" w:rsidRPr="0021393F">
        <w:rPr>
          <w:rFonts w:cstheme="minorHAnsi"/>
        </w:rPr>
        <w:t>as above with</w:t>
      </w:r>
      <w:r w:rsidR="00471C09" w:rsidRPr="0021393F">
        <w:rPr>
          <w:rFonts w:cstheme="minorHAnsi"/>
        </w:rPr>
        <w:t xml:space="preserve"> their reasons, upon which the court will issue directions which may include the vacation of the costs hearing or the requirement for the parties to attend a brief telephone directions hearing.</w:t>
      </w:r>
    </w:p>
    <w:p w14:paraId="27828D00" w14:textId="77777777" w:rsidR="0021393F" w:rsidRPr="0021393F" w:rsidRDefault="0021393F" w:rsidP="0021393F">
      <w:pPr>
        <w:pStyle w:val="ListParagraph"/>
        <w:rPr>
          <w:rFonts w:cstheme="minorHAnsi"/>
        </w:rPr>
      </w:pPr>
    </w:p>
    <w:p w14:paraId="75B8B815" w14:textId="7093107F" w:rsidR="007A4E00" w:rsidRPr="0021393F" w:rsidRDefault="00B34A7D" w:rsidP="0021393F">
      <w:pPr>
        <w:pStyle w:val="ListParagraph"/>
        <w:numPr>
          <w:ilvl w:val="0"/>
          <w:numId w:val="17"/>
        </w:numPr>
        <w:jc w:val="both"/>
        <w:rPr>
          <w:rFonts w:cstheme="minorHAnsi"/>
        </w:rPr>
      </w:pPr>
      <w:r w:rsidRPr="0021393F">
        <w:rPr>
          <w:rFonts w:cstheme="minorHAnsi"/>
        </w:rPr>
        <w:t xml:space="preserve">Available platforms for remote hearings include (non-exhaustively) </w:t>
      </w:r>
      <w:r w:rsidR="001000B2" w:rsidRPr="001000B2">
        <w:rPr>
          <w:rFonts w:cstheme="minorHAnsi"/>
        </w:rPr>
        <w:t xml:space="preserve">Skype for Business/Microsoft Teams, CVP via </w:t>
      </w:r>
      <w:proofErr w:type="spellStart"/>
      <w:r w:rsidR="001000B2" w:rsidRPr="001000B2">
        <w:rPr>
          <w:rFonts w:cstheme="minorHAnsi"/>
        </w:rPr>
        <w:t>Kinly</w:t>
      </w:r>
      <w:proofErr w:type="spellEnd"/>
      <w:r w:rsidR="001000B2" w:rsidRPr="001000B2">
        <w:rPr>
          <w:rFonts w:cstheme="minorHAnsi"/>
        </w:rPr>
        <w:t xml:space="preserve"> Video Conferencing, BT </w:t>
      </w:r>
      <w:proofErr w:type="spellStart"/>
      <w:r w:rsidR="001000B2" w:rsidRPr="001000B2">
        <w:rPr>
          <w:rFonts w:cstheme="minorHAnsi"/>
        </w:rPr>
        <w:t>MeetMe</w:t>
      </w:r>
      <w:proofErr w:type="spellEnd"/>
      <w:r w:rsidR="001000B2" w:rsidRPr="001000B2">
        <w:rPr>
          <w:rFonts w:cstheme="minorHAnsi"/>
        </w:rPr>
        <w:t>, and ordinary telephone call.  It is likely that a video hearing via Skype for Business/Microsoft Teams will be preferred over any other platform.</w:t>
      </w:r>
      <w:r w:rsidRPr="0021393F">
        <w:rPr>
          <w:rFonts w:cstheme="minorHAnsi"/>
        </w:rPr>
        <w:t xml:space="preserve">  If the court does not agree with the parties’ suggested platform, it will propose an alternative.</w:t>
      </w:r>
    </w:p>
    <w:p w14:paraId="03E28E15" w14:textId="77777777" w:rsidR="00A2061A" w:rsidRPr="00CC4040" w:rsidRDefault="00A2061A" w:rsidP="00763CE6">
      <w:pPr>
        <w:pStyle w:val="Default"/>
        <w:ind w:left="720" w:hanging="720"/>
        <w:jc w:val="both"/>
        <w:rPr>
          <w:rFonts w:asciiTheme="minorHAnsi" w:hAnsiTheme="minorHAnsi" w:cstheme="minorHAnsi"/>
        </w:rPr>
      </w:pPr>
    </w:p>
    <w:p w14:paraId="52132FDD" w14:textId="49D0EFC3" w:rsidR="007A4E00" w:rsidRPr="00CC4040" w:rsidRDefault="007A4E00" w:rsidP="00C45E01">
      <w:pPr>
        <w:ind w:left="720" w:hanging="720"/>
        <w:jc w:val="both"/>
        <w:rPr>
          <w:rFonts w:cstheme="minorHAnsi"/>
          <w:u w:val="single"/>
        </w:rPr>
      </w:pPr>
      <w:r w:rsidRPr="00CC4040">
        <w:rPr>
          <w:rFonts w:cstheme="minorHAnsi"/>
          <w:u w:val="single"/>
        </w:rPr>
        <w:t>Consideration by the Court</w:t>
      </w:r>
    </w:p>
    <w:p w14:paraId="6F8ADE7C" w14:textId="3D86224C" w:rsidR="007A4E00" w:rsidRPr="00CC4040" w:rsidRDefault="007A4E00" w:rsidP="00C45E01">
      <w:pPr>
        <w:ind w:left="720" w:hanging="720"/>
        <w:jc w:val="both"/>
        <w:rPr>
          <w:rFonts w:cstheme="minorHAnsi"/>
        </w:rPr>
      </w:pPr>
    </w:p>
    <w:p w14:paraId="364AE26C" w14:textId="6EB0AA72" w:rsidR="007D2D80" w:rsidRPr="0021393F" w:rsidRDefault="007A4E00" w:rsidP="0021393F">
      <w:pPr>
        <w:pStyle w:val="ListParagraph"/>
        <w:numPr>
          <w:ilvl w:val="0"/>
          <w:numId w:val="17"/>
        </w:numPr>
        <w:jc w:val="both"/>
        <w:rPr>
          <w:rFonts w:cstheme="minorHAnsi"/>
        </w:rPr>
      </w:pPr>
      <w:r w:rsidRPr="0021393F">
        <w:rPr>
          <w:rFonts w:cstheme="minorHAnsi"/>
        </w:rPr>
        <w:t xml:space="preserve">Upon consideration of the parties’ request, the court </w:t>
      </w:r>
      <w:r w:rsidR="001000B2">
        <w:rPr>
          <w:rFonts w:cstheme="minorHAnsi"/>
        </w:rPr>
        <w:t>is likely to</w:t>
      </w:r>
      <w:r w:rsidRPr="0021393F">
        <w:rPr>
          <w:rFonts w:cstheme="minorHAnsi"/>
        </w:rPr>
        <w:t xml:space="preserve"> </w:t>
      </w:r>
      <w:r w:rsidR="00DA4111" w:rsidRPr="0021393F">
        <w:rPr>
          <w:rFonts w:cstheme="minorHAnsi"/>
        </w:rPr>
        <w:t xml:space="preserve">issue an order which will address preparation, filing and service of </w:t>
      </w:r>
      <w:r w:rsidR="0066393B" w:rsidRPr="0021393F">
        <w:rPr>
          <w:rFonts w:cstheme="minorHAnsi"/>
        </w:rPr>
        <w:t xml:space="preserve">skeleton arguments (if ordered) and </w:t>
      </w:r>
      <w:r w:rsidR="00DA4111" w:rsidRPr="0021393F">
        <w:rPr>
          <w:rFonts w:cstheme="minorHAnsi"/>
        </w:rPr>
        <w:t>bundles.</w:t>
      </w:r>
    </w:p>
    <w:p w14:paraId="4A249242" w14:textId="77777777" w:rsidR="007D2D80" w:rsidRPr="00CC4040" w:rsidRDefault="007D2D80" w:rsidP="007D2D80">
      <w:pPr>
        <w:ind w:left="720" w:hanging="720"/>
        <w:jc w:val="both"/>
        <w:rPr>
          <w:rFonts w:cstheme="minorHAnsi"/>
        </w:rPr>
      </w:pPr>
    </w:p>
    <w:p w14:paraId="2CA63102" w14:textId="5BE8F21E" w:rsidR="007D2D80" w:rsidRPr="0021393F" w:rsidRDefault="007D2D80" w:rsidP="0021393F">
      <w:pPr>
        <w:pStyle w:val="ListParagraph"/>
        <w:numPr>
          <w:ilvl w:val="0"/>
          <w:numId w:val="17"/>
        </w:numPr>
        <w:jc w:val="both"/>
        <w:rPr>
          <w:rFonts w:cstheme="minorHAnsi"/>
        </w:rPr>
      </w:pPr>
      <w:r w:rsidRPr="0021393F">
        <w:rPr>
          <w:rFonts w:cstheme="minorHAnsi"/>
        </w:rPr>
        <w:t xml:space="preserve">Parties should consider </w:t>
      </w:r>
      <w:r w:rsidR="00977069">
        <w:rPr>
          <w:rFonts w:cstheme="minorHAnsi"/>
        </w:rPr>
        <w:t>court O</w:t>
      </w:r>
      <w:r w:rsidRPr="0021393F">
        <w:rPr>
          <w:rFonts w:cstheme="minorHAnsi"/>
        </w:rPr>
        <w:t>rders carefully and, if they object to any part of the order, make a</w:t>
      </w:r>
      <w:r w:rsidR="0011364F" w:rsidRPr="0021393F">
        <w:rPr>
          <w:rFonts w:cstheme="minorHAnsi"/>
        </w:rPr>
        <w:t>n</w:t>
      </w:r>
      <w:r w:rsidRPr="0021393F">
        <w:rPr>
          <w:rFonts w:cstheme="minorHAnsi"/>
        </w:rPr>
        <w:t xml:space="preserve"> application to the court to vary the order. If both parties object to any part of the order they should file a consent order reflecting that agreement for the court to consider. </w:t>
      </w:r>
    </w:p>
    <w:p w14:paraId="10952D85" w14:textId="0E292B0B" w:rsidR="0093233C" w:rsidRPr="00CC4040" w:rsidRDefault="0093233C" w:rsidP="0093233C">
      <w:pPr>
        <w:jc w:val="both"/>
        <w:rPr>
          <w:rFonts w:cstheme="minorHAnsi"/>
        </w:rPr>
      </w:pPr>
    </w:p>
    <w:p w14:paraId="69905517" w14:textId="0152D0B6" w:rsidR="00FB49C1" w:rsidRPr="00CC4040" w:rsidRDefault="00FB49C1" w:rsidP="00FB49C1">
      <w:pPr>
        <w:ind w:left="720" w:hanging="720"/>
        <w:jc w:val="both"/>
        <w:rPr>
          <w:rFonts w:cstheme="minorHAnsi"/>
          <w:u w:val="single"/>
        </w:rPr>
      </w:pPr>
      <w:r w:rsidRPr="00CC4040">
        <w:rPr>
          <w:rFonts w:cstheme="minorHAnsi"/>
          <w:u w:val="single"/>
        </w:rPr>
        <w:t xml:space="preserve">Bundles </w:t>
      </w:r>
    </w:p>
    <w:p w14:paraId="1378D8B9" w14:textId="77777777" w:rsidR="00680080" w:rsidRPr="00CC4040" w:rsidRDefault="00680080" w:rsidP="00CE69CF">
      <w:pPr>
        <w:jc w:val="both"/>
        <w:rPr>
          <w:rFonts w:cstheme="minorHAnsi"/>
        </w:rPr>
      </w:pPr>
    </w:p>
    <w:p w14:paraId="20503F44" w14:textId="77777777" w:rsidR="00680080" w:rsidRPr="00CC4040" w:rsidRDefault="00680080" w:rsidP="0011364F">
      <w:pPr>
        <w:ind w:left="720" w:hanging="720"/>
        <w:jc w:val="both"/>
        <w:rPr>
          <w:rFonts w:cstheme="minorHAnsi"/>
          <w:i/>
          <w:iCs/>
        </w:rPr>
      </w:pPr>
      <w:r w:rsidRPr="00CC4040">
        <w:rPr>
          <w:rFonts w:cstheme="minorHAnsi"/>
          <w:i/>
          <w:iCs/>
        </w:rPr>
        <w:t>Detailed assessment hearings</w:t>
      </w:r>
    </w:p>
    <w:p w14:paraId="79EB9CE9" w14:textId="77777777" w:rsidR="00680080" w:rsidRPr="00CC4040" w:rsidRDefault="00680080" w:rsidP="0011364F">
      <w:pPr>
        <w:ind w:left="720" w:hanging="720"/>
        <w:jc w:val="both"/>
        <w:rPr>
          <w:rFonts w:cstheme="minorHAnsi"/>
        </w:rPr>
      </w:pPr>
    </w:p>
    <w:p w14:paraId="3B0A7E6B" w14:textId="1C726BBF" w:rsidR="00FB49C1" w:rsidRPr="0021393F" w:rsidRDefault="00FB49C1" w:rsidP="0021393F">
      <w:pPr>
        <w:pStyle w:val="ListParagraph"/>
        <w:numPr>
          <w:ilvl w:val="0"/>
          <w:numId w:val="17"/>
        </w:numPr>
        <w:jc w:val="both"/>
        <w:rPr>
          <w:rFonts w:cstheme="minorHAnsi"/>
        </w:rPr>
      </w:pPr>
      <w:r w:rsidRPr="0021393F">
        <w:rPr>
          <w:rFonts w:cstheme="minorHAnsi"/>
        </w:rPr>
        <w:t xml:space="preserve">Not less than 3 </w:t>
      </w:r>
      <w:r w:rsidR="00977069">
        <w:rPr>
          <w:rFonts w:cstheme="minorHAnsi"/>
        </w:rPr>
        <w:t xml:space="preserve">business </w:t>
      </w:r>
      <w:r w:rsidRPr="0021393F">
        <w:rPr>
          <w:rFonts w:cstheme="minorHAnsi"/>
        </w:rPr>
        <w:t>days before the detailed assessment hearing is to take place</w:t>
      </w:r>
      <w:r w:rsidR="00977069">
        <w:rPr>
          <w:rFonts w:cstheme="minorHAnsi"/>
        </w:rPr>
        <w:t xml:space="preserve"> (or such other period as is specified in a court Order)</w:t>
      </w:r>
      <w:r w:rsidRPr="0021393F">
        <w:rPr>
          <w:rFonts w:cstheme="minorHAnsi"/>
        </w:rPr>
        <w:t xml:space="preserve">, the receiving party </w:t>
      </w:r>
      <w:r w:rsidR="00977069">
        <w:rPr>
          <w:rFonts w:cstheme="minorHAnsi"/>
        </w:rPr>
        <w:t xml:space="preserve">should </w:t>
      </w:r>
      <w:r w:rsidRPr="0021393F">
        <w:rPr>
          <w:rFonts w:cstheme="minorHAnsi"/>
        </w:rPr>
        <w:t>electronically file: -</w:t>
      </w:r>
    </w:p>
    <w:p w14:paraId="1CA09F46" w14:textId="27335D1A" w:rsidR="00FB49C1" w:rsidRPr="00CC4040" w:rsidRDefault="00FB49C1" w:rsidP="009F225F">
      <w:pPr>
        <w:jc w:val="both"/>
        <w:rPr>
          <w:rFonts w:cstheme="minorHAnsi"/>
          <w:highlight w:val="yellow"/>
        </w:rPr>
      </w:pPr>
    </w:p>
    <w:p w14:paraId="2E1F3CCD" w14:textId="08A8BF65" w:rsidR="009F225F" w:rsidRPr="00CC4040" w:rsidRDefault="009F225F" w:rsidP="00FB49C1">
      <w:pPr>
        <w:pStyle w:val="ListParagraph"/>
        <w:numPr>
          <w:ilvl w:val="1"/>
          <w:numId w:val="12"/>
        </w:numPr>
        <w:jc w:val="both"/>
        <w:rPr>
          <w:rFonts w:cstheme="minorHAnsi"/>
        </w:rPr>
      </w:pPr>
      <w:r w:rsidRPr="00CC4040">
        <w:rPr>
          <w:rFonts w:cstheme="minorHAnsi"/>
        </w:rPr>
        <w:t>An electronic copy of the bill in an editable format (for old-style paper bills, this should be in Microsoft Word (.doc or</w:t>
      </w:r>
      <w:r w:rsidR="00121F3B" w:rsidRPr="00CC4040">
        <w:rPr>
          <w:rFonts w:cstheme="minorHAnsi"/>
        </w:rPr>
        <w:t xml:space="preserve"> </w:t>
      </w:r>
      <w:r w:rsidRPr="00CC4040">
        <w:rPr>
          <w:rFonts w:cstheme="minorHAnsi"/>
        </w:rPr>
        <w:t>.docx); for e-Bills, this should be in Microsoft Excel (.</w:t>
      </w:r>
      <w:proofErr w:type="spellStart"/>
      <w:r w:rsidRPr="00CC4040">
        <w:rPr>
          <w:rFonts w:cstheme="minorHAnsi"/>
        </w:rPr>
        <w:t>xls</w:t>
      </w:r>
      <w:proofErr w:type="spellEnd"/>
      <w:r w:rsidRPr="00CC4040">
        <w:rPr>
          <w:rFonts w:cstheme="minorHAnsi"/>
        </w:rPr>
        <w:t xml:space="preserve"> </w:t>
      </w:r>
      <w:proofErr w:type="spellStart"/>
      <w:r w:rsidRPr="00CC4040">
        <w:rPr>
          <w:rFonts w:cstheme="minorHAnsi"/>
        </w:rPr>
        <w:t>or.xslx</w:t>
      </w:r>
      <w:proofErr w:type="spellEnd"/>
      <w:r w:rsidRPr="00CC4040">
        <w:rPr>
          <w:rFonts w:cstheme="minorHAnsi"/>
        </w:rPr>
        <w:t>);</w:t>
      </w:r>
    </w:p>
    <w:p w14:paraId="4CC32EE7" w14:textId="77777777" w:rsidR="000E0A26" w:rsidRPr="00CC4040" w:rsidRDefault="000E0A26" w:rsidP="000E0A26">
      <w:pPr>
        <w:pStyle w:val="ListParagraph"/>
        <w:ind w:left="1440"/>
        <w:jc w:val="both"/>
        <w:rPr>
          <w:rFonts w:cstheme="minorHAnsi"/>
        </w:rPr>
      </w:pPr>
    </w:p>
    <w:p w14:paraId="1AB40ECE" w14:textId="46585C95" w:rsidR="000E0A26" w:rsidRPr="00CC4040" w:rsidRDefault="000E0A26" w:rsidP="00FB49C1">
      <w:pPr>
        <w:pStyle w:val="ListParagraph"/>
        <w:numPr>
          <w:ilvl w:val="1"/>
          <w:numId w:val="12"/>
        </w:numPr>
        <w:jc w:val="both"/>
        <w:rPr>
          <w:rFonts w:cstheme="minorHAnsi"/>
        </w:rPr>
      </w:pPr>
      <w:r w:rsidRPr="00CC4040">
        <w:rPr>
          <w:rFonts w:cstheme="minorHAnsi"/>
        </w:rPr>
        <w:t>A composite Points of Dispute and Replies document as a single .pdf document;</w:t>
      </w:r>
    </w:p>
    <w:p w14:paraId="51830E0B" w14:textId="77777777" w:rsidR="009F225F" w:rsidRPr="00CC4040" w:rsidRDefault="009F225F" w:rsidP="009F225F">
      <w:pPr>
        <w:pStyle w:val="ListParagraph"/>
        <w:ind w:left="1440"/>
        <w:jc w:val="both"/>
        <w:rPr>
          <w:rFonts w:cstheme="minorHAnsi"/>
        </w:rPr>
      </w:pPr>
    </w:p>
    <w:p w14:paraId="590AF015" w14:textId="3D5CC572" w:rsidR="00FB49C1" w:rsidRPr="00CC4040" w:rsidRDefault="00FB49C1" w:rsidP="00FB49C1">
      <w:pPr>
        <w:pStyle w:val="ListParagraph"/>
        <w:numPr>
          <w:ilvl w:val="1"/>
          <w:numId w:val="12"/>
        </w:numPr>
        <w:jc w:val="both"/>
        <w:rPr>
          <w:rFonts w:cstheme="minorHAnsi"/>
        </w:rPr>
      </w:pPr>
      <w:r w:rsidRPr="00CC4040">
        <w:rPr>
          <w:rFonts w:cstheme="minorHAnsi"/>
        </w:rPr>
        <w:t xml:space="preserve">Their papers in support of the bill (“the </w:t>
      </w:r>
      <w:proofErr w:type="spellStart"/>
      <w:r w:rsidRPr="00CC4040">
        <w:rPr>
          <w:rFonts w:cstheme="minorHAnsi"/>
        </w:rPr>
        <w:t>eBundle</w:t>
      </w:r>
      <w:proofErr w:type="spellEnd"/>
      <w:r w:rsidRPr="00CC4040">
        <w:rPr>
          <w:rFonts w:cstheme="minorHAnsi"/>
        </w:rPr>
        <w:t>”)</w:t>
      </w:r>
      <w:r w:rsidR="00121F3B" w:rsidRPr="00CC4040">
        <w:rPr>
          <w:rFonts w:cstheme="minorHAnsi"/>
        </w:rPr>
        <w:t>;</w:t>
      </w:r>
    </w:p>
    <w:p w14:paraId="3BD75336" w14:textId="77777777" w:rsidR="009F225F" w:rsidRPr="00CC4040" w:rsidRDefault="009F225F" w:rsidP="009F225F">
      <w:pPr>
        <w:pStyle w:val="ListParagraph"/>
        <w:rPr>
          <w:rFonts w:cstheme="minorHAnsi"/>
        </w:rPr>
      </w:pPr>
    </w:p>
    <w:p w14:paraId="1BEBB04E" w14:textId="0BFA57D3" w:rsidR="009F225F" w:rsidRPr="00CC4040" w:rsidRDefault="00121F3B" w:rsidP="00FB49C1">
      <w:pPr>
        <w:pStyle w:val="ListParagraph"/>
        <w:numPr>
          <w:ilvl w:val="1"/>
          <w:numId w:val="12"/>
        </w:numPr>
        <w:jc w:val="both"/>
        <w:rPr>
          <w:rFonts w:cstheme="minorHAnsi"/>
        </w:rPr>
      </w:pPr>
      <w:r w:rsidRPr="00CC4040">
        <w:rPr>
          <w:rFonts w:cstheme="minorHAnsi"/>
        </w:rPr>
        <w:t>An electronic bundle of offers made to settle the detailed assessment proceedings (“the Offers Bundle”);</w:t>
      </w:r>
    </w:p>
    <w:p w14:paraId="26F8A7F7" w14:textId="77777777" w:rsidR="00C0780B" w:rsidRPr="00CC4040" w:rsidRDefault="00C0780B" w:rsidP="00C0780B">
      <w:pPr>
        <w:pStyle w:val="ListParagraph"/>
        <w:rPr>
          <w:rFonts w:cstheme="minorHAnsi"/>
        </w:rPr>
      </w:pPr>
    </w:p>
    <w:p w14:paraId="0E28373E" w14:textId="7ED6318E" w:rsidR="001E2394" w:rsidRPr="00CC4040" w:rsidRDefault="00C0780B" w:rsidP="001E2394">
      <w:pPr>
        <w:pStyle w:val="ListParagraph"/>
        <w:numPr>
          <w:ilvl w:val="1"/>
          <w:numId w:val="12"/>
        </w:numPr>
        <w:jc w:val="both"/>
        <w:rPr>
          <w:rFonts w:cstheme="minorHAnsi"/>
        </w:rPr>
      </w:pPr>
      <w:r w:rsidRPr="00CC4040">
        <w:rPr>
          <w:rFonts w:cstheme="minorHAnsi"/>
        </w:rPr>
        <w:t xml:space="preserve">The </w:t>
      </w:r>
      <w:r w:rsidR="001E2394" w:rsidRPr="00CC4040">
        <w:rPr>
          <w:rFonts w:cstheme="minorHAnsi"/>
        </w:rPr>
        <w:t>advocates’: -</w:t>
      </w:r>
    </w:p>
    <w:p w14:paraId="6E2F975C" w14:textId="15AD8212" w:rsidR="001E2394" w:rsidRPr="00CC4040" w:rsidRDefault="001E2394" w:rsidP="001E2394">
      <w:pPr>
        <w:pStyle w:val="ListParagraph"/>
        <w:numPr>
          <w:ilvl w:val="2"/>
          <w:numId w:val="12"/>
        </w:numPr>
        <w:jc w:val="both"/>
        <w:rPr>
          <w:rFonts w:cstheme="minorHAnsi"/>
        </w:rPr>
      </w:pPr>
      <w:r w:rsidRPr="00CC4040">
        <w:rPr>
          <w:rFonts w:cstheme="minorHAnsi"/>
        </w:rPr>
        <w:t xml:space="preserve">Email addresses </w:t>
      </w:r>
      <w:r w:rsidRPr="00CC4040">
        <w:rPr>
          <w:rFonts w:eastAsia="Times New Roman" w:cstheme="minorHAnsi"/>
          <w:color w:val="161A23"/>
          <w:lang w:eastAsia="en-GB"/>
        </w:rPr>
        <w:t>to which the invitation for the video hearing may be sent</w:t>
      </w:r>
      <w:r w:rsidRPr="00CC4040">
        <w:rPr>
          <w:rFonts w:cstheme="minorHAnsi"/>
        </w:rPr>
        <w:t xml:space="preserve"> ;</w:t>
      </w:r>
    </w:p>
    <w:p w14:paraId="07E63E82" w14:textId="506CDC7C" w:rsidR="00C0780B" w:rsidRPr="00CC4040" w:rsidRDefault="00C0780B" w:rsidP="001E2394">
      <w:pPr>
        <w:pStyle w:val="ListParagraph"/>
        <w:numPr>
          <w:ilvl w:val="2"/>
          <w:numId w:val="12"/>
        </w:numPr>
        <w:jc w:val="both"/>
        <w:rPr>
          <w:rFonts w:cstheme="minorHAnsi"/>
        </w:rPr>
      </w:pPr>
      <w:r w:rsidRPr="00CC4040">
        <w:rPr>
          <w:rFonts w:cstheme="minorHAnsi"/>
        </w:rPr>
        <w:t>telephone numbers on which they confirm they can be reached by the court</w:t>
      </w:r>
      <w:r w:rsidR="00121F3B" w:rsidRPr="00CC4040">
        <w:rPr>
          <w:rFonts w:cstheme="minorHAnsi"/>
        </w:rPr>
        <w:t xml:space="preserve"> on the day of the hearing</w:t>
      </w:r>
      <w:r w:rsidR="00AA0131" w:rsidRPr="00CC4040">
        <w:rPr>
          <w:rFonts w:cstheme="minorHAnsi"/>
        </w:rPr>
        <w:t>; and</w:t>
      </w:r>
    </w:p>
    <w:p w14:paraId="7B535A95" w14:textId="2792101F" w:rsidR="00AA0131" w:rsidRPr="00CC4040" w:rsidRDefault="00AA0131" w:rsidP="001E2394">
      <w:pPr>
        <w:pStyle w:val="ListParagraph"/>
        <w:numPr>
          <w:ilvl w:val="2"/>
          <w:numId w:val="12"/>
        </w:numPr>
        <w:jc w:val="both"/>
        <w:rPr>
          <w:rFonts w:cstheme="minorHAnsi"/>
        </w:rPr>
      </w:pPr>
      <w:r w:rsidRPr="00CC4040">
        <w:rPr>
          <w:rFonts w:cstheme="minorHAnsi"/>
        </w:rPr>
        <w:t>S</w:t>
      </w:r>
      <w:r w:rsidRPr="00CC4040">
        <w:rPr>
          <w:rFonts w:eastAsia="Times New Roman" w:cstheme="minorHAnsi"/>
          <w:color w:val="161A23"/>
          <w:lang w:eastAsia="en-GB"/>
        </w:rPr>
        <w:t>tating in what capacity (e.g. counsel, solicitor, Cost Lawyer, party, etc.) they are attending.</w:t>
      </w:r>
    </w:p>
    <w:p w14:paraId="13A9438D" w14:textId="77777777" w:rsidR="00FB49C1" w:rsidRPr="00CC4040" w:rsidRDefault="00FB49C1" w:rsidP="00FB49C1">
      <w:pPr>
        <w:pStyle w:val="ListParagraph"/>
        <w:jc w:val="both"/>
        <w:rPr>
          <w:rFonts w:cstheme="minorHAnsi"/>
        </w:rPr>
      </w:pPr>
    </w:p>
    <w:p w14:paraId="5F913D9B" w14:textId="30CF6D9A" w:rsidR="00FB49C1" w:rsidRPr="0021393F" w:rsidRDefault="00FB49C1" w:rsidP="0021393F">
      <w:pPr>
        <w:pStyle w:val="ListParagraph"/>
        <w:numPr>
          <w:ilvl w:val="0"/>
          <w:numId w:val="17"/>
        </w:numPr>
        <w:jc w:val="both"/>
        <w:rPr>
          <w:rFonts w:cstheme="minorHAnsi"/>
        </w:rPr>
      </w:pPr>
      <w:r w:rsidRPr="0021393F">
        <w:rPr>
          <w:rFonts w:cstheme="minorHAnsi"/>
        </w:rPr>
        <w:t xml:space="preserve">The documents referred to above will be deemed filed when the receiving party emails to the court a link to an online data room containing </w:t>
      </w:r>
      <w:r w:rsidR="00977069">
        <w:rPr>
          <w:rFonts w:cstheme="minorHAnsi"/>
        </w:rPr>
        <w:t>those documents</w:t>
      </w:r>
      <w:r w:rsidRPr="0021393F">
        <w:rPr>
          <w:rFonts w:cstheme="minorHAnsi"/>
        </w:rPr>
        <w:t xml:space="preserve">. The court will provide </w:t>
      </w:r>
      <w:r w:rsidRPr="0021393F">
        <w:rPr>
          <w:rFonts w:cstheme="minorHAnsi"/>
        </w:rPr>
        <w:lastRenderedPageBreak/>
        <w:t xml:space="preserve">the appropriate email address for that purpose. </w:t>
      </w:r>
      <w:r w:rsidR="00977069" w:rsidRPr="00977069">
        <w:rPr>
          <w:rFonts w:cstheme="minorHAnsi"/>
        </w:rPr>
        <w:t>The advocates’ details identified above should be included in the body of the email to the court.</w:t>
      </w:r>
    </w:p>
    <w:p w14:paraId="014BC951" w14:textId="77777777" w:rsidR="0021393F" w:rsidRPr="0021393F" w:rsidRDefault="0021393F" w:rsidP="0021393F">
      <w:pPr>
        <w:pStyle w:val="ListParagraph"/>
        <w:ind w:left="360"/>
        <w:jc w:val="both"/>
        <w:rPr>
          <w:rFonts w:cstheme="minorHAnsi"/>
        </w:rPr>
      </w:pPr>
    </w:p>
    <w:p w14:paraId="3D41A2E8" w14:textId="77777777" w:rsidR="0021393F" w:rsidRDefault="0021393F" w:rsidP="0021393F">
      <w:pPr>
        <w:pStyle w:val="ListParagraph"/>
        <w:numPr>
          <w:ilvl w:val="0"/>
          <w:numId w:val="17"/>
        </w:numPr>
        <w:jc w:val="both"/>
        <w:rPr>
          <w:rFonts w:cstheme="minorHAnsi"/>
        </w:rPr>
      </w:pPr>
      <w:r>
        <w:rPr>
          <w:rFonts w:cstheme="minorHAnsi"/>
        </w:rPr>
        <w:t>T</w:t>
      </w:r>
      <w:r w:rsidR="00FB49C1" w:rsidRPr="0021393F">
        <w:rPr>
          <w:rFonts w:cstheme="minorHAnsi"/>
        </w:rPr>
        <w:t>he electronic copy of the bill should not include any supporting documentation (such as disbursement vouchers).</w:t>
      </w:r>
    </w:p>
    <w:p w14:paraId="1A13750D" w14:textId="77777777" w:rsidR="0021393F" w:rsidRPr="0021393F" w:rsidRDefault="0021393F" w:rsidP="0021393F">
      <w:pPr>
        <w:pStyle w:val="ListParagraph"/>
        <w:rPr>
          <w:rFonts w:cstheme="minorHAnsi"/>
        </w:rPr>
      </w:pPr>
    </w:p>
    <w:p w14:paraId="75D90E7B" w14:textId="77777777" w:rsidR="0021393F" w:rsidRDefault="00FB49C1" w:rsidP="0021393F">
      <w:pPr>
        <w:pStyle w:val="ListParagraph"/>
        <w:numPr>
          <w:ilvl w:val="0"/>
          <w:numId w:val="17"/>
        </w:numPr>
        <w:jc w:val="both"/>
        <w:rPr>
          <w:rFonts w:cstheme="minorHAnsi"/>
        </w:rPr>
      </w:pPr>
      <w:r w:rsidRPr="0021393F">
        <w:rPr>
          <w:rFonts w:cstheme="minorHAnsi"/>
        </w:rPr>
        <w:t xml:space="preserve">The </w:t>
      </w:r>
      <w:proofErr w:type="spellStart"/>
      <w:r w:rsidR="0093233C" w:rsidRPr="0021393F">
        <w:rPr>
          <w:rFonts w:cstheme="minorHAnsi"/>
        </w:rPr>
        <w:t>eBundle</w:t>
      </w:r>
      <w:proofErr w:type="spellEnd"/>
      <w:r w:rsidRPr="0021393F">
        <w:rPr>
          <w:rFonts w:cstheme="minorHAnsi"/>
        </w:rPr>
        <w:t xml:space="preserve"> should comprise a single .pdf file which includes an index. If paginated, page numbers must match the ‘electronic’ page number of the .pdf file.</w:t>
      </w:r>
    </w:p>
    <w:p w14:paraId="230D6977" w14:textId="77777777" w:rsidR="0021393F" w:rsidRPr="0021393F" w:rsidRDefault="0021393F" w:rsidP="0021393F">
      <w:pPr>
        <w:pStyle w:val="ListParagraph"/>
        <w:rPr>
          <w:rFonts w:cstheme="minorHAnsi"/>
        </w:rPr>
      </w:pPr>
    </w:p>
    <w:p w14:paraId="0C5A3287" w14:textId="77777777" w:rsidR="0021393F" w:rsidRDefault="00FB49C1" w:rsidP="0021393F">
      <w:pPr>
        <w:pStyle w:val="ListParagraph"/>
        <w:numPr>
          <w:ilvl w:val="0"/>
          <w:numId w:val="17"/>
        </w:numPr>
        <w:jc w:val="both"/>
        <w:rPr>
          <w:rFonts w:cstheme="minorHAnsi"/>
        </w:rPr>
      </w:pPr>
      <w:r w:rsidRPr="0021393F">
        <w:rPr>
          <w:rFonts w:cstheme="minorHAnsi"/>
        </w:rPr>
        <w:t xml:space="preserve">The use of hyperlinks and/or bookmarks where possible is encouraged to allow for easy navigation around the bundle. The receiving party is also encouraged to make the </w:t>
      </w:r>
      <w:proofErr w:type="spellStart"/>
      <w:r w:rsidR="0093233C" w:rsidRPr="0021393F">
        <w:rPr>
          <w:rFonts w:cstheme="minorHAnsi"/>
        </w:rPr>
        <w:t>eBundle</w:t>
      </w:r>
      <w:proofErr w:type="spellEnd"/>
      <w:r w:rsidRPr="0021393F">
        <w:rPr>
          <w:rFonts w:cstheme="minorHAnsi"/>
        </w:rPr>
        <w:t xml:space="preserve"> “readable” such that key word searches can be performed (where possible).</w:t>
      </w:r>
    </w:p>
    <w:p w14:paraId="7B51113F" w14:textId="77777777" w:rsidR="0021393F" w:rsidRPr="0021393F" w:rsidRDefault="0021393F" w:rsidP="0021393F">
      <w:pPr>
        <w:pStyle w:val="ListParagraph"/>
        <w:rPr>
          <w:rFonts w:cstheme="minorHAnsi"/>
        </w:rPr>
      </w:pPr>
    </w:p>
    <w:p w14:paraId="222BD1AF" w14:textId="095B3DB0" w:rsidR="00FB49C1" w:rsidRPr="0021393F" w:rsidRDefault="00FB49C1" w:rsidP="0021393F">
      <w:pPr>
        <w:pStyle w:val="ListParagraph"/>
        <w:numPr>
          <w:ilvl w:val="0"/>
          <w:numId w:val="17"/>
        </w:numPr>
        <w:jc w:val="both"/>
        <w:rPr>
          <w:rFonts w:cstheme="minorHAnsi"/>
        </w:rPr>
      </w:pPr>
      <w:r w:rsidRPr="0021393F">
        <w:rPr>
          <w:rFonts w:cstheme="minorHAnsi"/>
        </w:rPr>
        <w:t xml:space="preserve">The </w:t>
      </w:r>
      <w:proofErr w:type="spellStart"/>
      <w:r w:rsidR="0093233C" w:rsidRPr="0021393F">
        <w:rPr>
          <w:rFonts w:cstheme="minorHAnsi"/>
        </w:rPr>
        <w:t>eBundle</w:t>
      </w:r>
      <w:proofErr w:type="spellEnd"/>
      <w:r w:rsidRPr="0021393F">
        <w:rPr>
          <w:rFonts w:cstheme="minorHAnsi"/>
        </w:rPr>
        <w:t xml:space="preserve"> should be organised as follows: -</w:t>
      </w:r>
    </w:p>
    <w:p w14:paraId="0617D8B5" w14:textId="77777777" w:rsidR="00FB49C1" w:rsidRPr="00CC4040" w:rsidRDefault="00FB49C1" w:rsidP="00EF7109">
      <w:pPr>
        <w:pStyle w:val="ListParagraph"/>
        <w:ind w:left="709" w:hanging="709"/>
        <w:rPr>
          <w:rFonts w:cstheme="minorHAnsi"/>
        </w:rPr>
      </w:pPr>
    </w:p>
    <w:p w14:paraId="30580235" w14:textId="77777777" w:rsidR="00FB49C1" w:rsidRPr="00CC4040" w:rsidRDefault="00FB49C1" w:rsidP="0021393F">
      <w:pPr>
        <w:pStyle w:val="ListParagraph"/>
        <w:numPr>
          <w:ilvl w:val="1"/>
          <w:numId w:val="17"/>
        </w:numPr>
        <w:ind w:left="709" w:firstLine="0"/>
        <w:jc w:val="both"/>
        <w:rPr>
          <w:rFonts w:cstheme="minorHAnsi"/>
        </w:rPr>
      </w:pPr>
      <w:r w:rsidRPr="00CC4040">
        <w:rPr>
          <w:rFonts w:cstheme="minorHAnsi"/>
        </w:rPr>
        <w:t>Any skeleton arguments;</w:t>
      </w:r>
    </w:p>
    <w:p w14:paraId="3B5969AB" w14:textId="77777777" w:rsidR="00FB49C1" w:rsidRPr="00CC4040" w:rsidRDefault="00FB49C1" w:rsidP="007D25F4">
      <w:pPr>
        <w:pStyle w:val="ListParagraph"/>
        <w:ind w:left="709"/>
        <w:rPr>
          <w:rFonts w:cstheme="minorHAnsi"/>
        </w:rPr>
      </w:pPr>
    </w:p>
    <w:p w14:paraId="08569E86" w14:textId="77777777" w:rsidR="007D25F4" w:rsidRPr="00CC4040" w:rsidRDefault="00FB49C1" w:rsidP="0021393F">
      <w:pPr>
        <w:pStyle w:val="ListParagraph"/>
        <w:numPr>
          <w:ilvl w:val="1"/>
          <w:numId w:val="17"/>
        </w:numPr>
        <w:ind w:left="709" w:firstLine="0"/>
        <w:jc w:val="both"/>
        <w:rPr>
          <w:rFonts w:cstheme="minorHAnsi"/>
        </w:rPr>
      </w:pPr>
      <w:r w:rsidRPr="00CC4040">
        <w:rPr>
          <w:rFonts w:cstheme="minorHAnsi"/>
        </w:rPr>
        <w:t>Extracts of any authorities upon which either party wishes to rely;</w:t>
      </w:r>
    </w:p>
    <w:p w14:paraId="7E0C30B3" w14:textId="77777777" w:rsidR="007D25F4" w:rsidRPr="00CC4040" w:rsidRDefault="007D25F4" w:rsidP="007D25F4">
      <w:pPr>
        <w:pStyle w:val="ListParagraph"/>
        <w:rPr>
          <w:rFonts w:cstheme="minorHAnsi"/>
        </w:rPr>
      </w:pPr>
    </w:p>
    <w:p w14:paraId="0A94EAEF" w14:textId="31BF0604" w:rsidR="00FB49C1" w:rsidRPr="00CC4040" w:rsidRDefault="00FB49C1" w:rsidP="0021393F">
      <w:pPr>
        <w:pStyle w:val="ListParagraph"/>
        <w:numPr>
          <w:ilvl w:val="1"/>
          <w:numId w:val="17"/>
        </w:numPr>
        <w:ind w:left="709" w:firstLine="0"/>
        <w:jc w:val="both"/>
        <w:rPr>
          <w:rFonts w:cstheme="minorHAnsi"/>
        </w:rPr>
      </w:pPr>
      <w:r w:rsidRPr="00CC4040">
        <w:rPr>
          <w:rFonts w:cstheme="minorHAnsi"/>
        </w:rPr>
        <w:t>A core case documents to include: -</w:t>
      </w:r>
    </w:p>
    <w:p w14:paraId="668DC690" w14:textId="77777777" w:rsidR="007D25F4" w:rsidRPr="00CC4040" w:rsidRDefault="007D25F4" w:rsidP="007D25F4">
      <w:pPr>
        <w:pStyle w:val="ListParagraph"/>
        <w:ind w:left="1985" w:hanging="425"/>
        <w:jc w:val="both"/>
        <w:rPr>
          <w:rFonts w:cstheme="minorHAnsi"/>
        </w:rPr>
      </w:pPr>
    </w:p>
    <w:p w14:paraId="0E05961D" w14:textId="77777777" w:rsidR="00FB49C1" w:rsidRPr="00CC4040" w:rsidRDefault="00FB49C1" w:rsidP="0021393F">
      <w:pPr>
        <w:pStyle w:val="ListParagraph"/>
        <w:numPr>
          <w:ilvl w:val="2"/>
          <w:numId w:val="17"/>
        </w:numPr>
        <w:ind w:left="1985" w:hanging="425"/>
        <w:jc w:val="both"/>
        <w:rPr>
          <w:rFonts w:cstheme="minorHAnsi"/>
        </w:rPr>
      </w:pPr>
      <w:r w:rsidRPr="00CC4040">
        <w:rPr>
          <w:rFonts w:cstheme="minorHAnsi"/>
        </w:rPr>
        <w:t>Pre-action letter of claim and letter of response;</w:t>
      </w:r>
    </w:p>
    <w:p w14:paraId="075C8E5C" w14:textId="77777777" w:rsidR="00FB49C1" w:rsidRPr="00CC4040" w:rsidRDefault="00FB49C1" w:rsidP="0021393F">
      <w:pPr>
        <w:pStyle w:val="ListParagraph"/>
        <w:numPr>
          <w:ilvl w:val="2"/>
          <w:numId w:val="17"/>
        </w:numPr>
        <w:ind w:left="1985" w:hanging="425"/>
        <w:jc w:val="both"/>
        <w:rPr>
          <w:rFonts w:cstheme="minorHAnsi"/>
        </w:rPr>
      </w:pPr>
      <w:r w:rsidRPr="00CC4040">
        <w:rPr>
          <w:rFonts w:cstheme="minorHAnsi"/>
        </w:rPr>
        <w:t>Statements of case (to include schedules and counter schedules of loss);</w:t>
      </w:r>
    </w:p>
    <w:p w14:paraId="04CE1F44" w14:textId="77777777" w:rsidR="00FB49C1" w:rsidRPr="00CC4040" w:rsidRDefault="00FB49C1" w:rsidP="0021393F">
      <w:pPr>
        <w:pStyle w:val="ListParagraph"/>
        <w:numPr>
          <w:ilvl w:val="2"/>
          <w:numId w:val="17"/>
        </w:numPr>
        <w:ind w:left="1985" w:hanging="425"/>
        <w:jc w:val="both"/>
        <w:rPr>
          <w:rFonts w:cstheme="minorHAnsi"/>
        </w:rPr>
      </w:pPr>
      <w:r w:rsidRPr="00CC4040">
        <w:rPr>
          <w:rFonts w:cstheme="minorHAnsi"/>
        </w:rPr>
        <w:t>Court Orders;</w:t>
      </w:r>
    </w:p>
    <w:p w14:paraId="72921DE3" w14:textId="77777777" w:rsidR="00FB49C1" w:rsidRPr="00CC4040" w:rsidRDefault="00FB49C1" w:rsidP="0021393F">
      <w:pPr>
        <w:pStyle w:val="ListParagraph"/>
        <w:numPr>
          <w:ilvl w:val="2"/>
          <w:numId w:val="17"/>
        </w:numPr>
        <w:ind w:left="1985" w:hanging="425"/>
        <w:jc w:val="both"/>
        <w:rPr>
          <w:rFonts w:cstheme="minorHAnsi"/>
        </w:rPr>
      </w:pPr>
      <w:r w:rsidRPr="00CC4040">
        <w:rPr>
          <w:rFonts w:cstheme="minorHAnsi"/>
        </w:rPr>
        <w:t>Key disclosure;</w:t>
      </w:r>
    </w:p>
    <w:p w14:paraId="6A91716B" w14:textId="77777777" w:rsidR="00FB49C1" w:rsidRPr="00CC4040" w:rsidRDefault="00FB49C1" w:rsidP="0021393F">
      <w:pPr>
        <w:pStyle w:val="ListParagraph"/>
        <w:numPr>
          <w:ilvl w:val="2"/>
          <w:numId w:val="17"/>
        </w:numPr>
        <w:ind w:left="1985" w:hanging="425"/>
        <w:jc w:val="both"/>
        <w:rPr>
          <w:rFonts w:cstheme="minorHAnsi"/>
        </w:rPr>
      </w:pPr>
      <w:r w:rsidRPr="00CC4040">
        <w:rPr>
          <w:rFonts w:cstheme="minorHAnsi"/>
        </w:rPr>
        <w:t>Witness statements (relevant to the main action, and not witness statements in support of any interlocutory applications); and</w:t>
      </w:r>
    </w:p>
    <w:p w14:paraId="68B8FBB2" w14:textId="5B5FC2D5" w:rsidR="00FB49C1" w:rsidRPr="00CC4040" w:rsidRDefault="00FB49C1" w:rsidP="0021393F">
      <w:pPr>
        <w:pStyle w:val="ListParagraph"/>
        <w:numPr>
          <w:ilvl w:val="2"/>
          <w:numId w:val="17"/>
        </w:numPr>
        <w:ind w:left="1985" w:hanging="425"/>
        <w:jc w:val="both"/>
        <w:rPr>
          <w:rFonts w:cstheme="minorHAnsi"/>
        </w:rPr>
      </w:pPr>
      <w:r w:rsidRPr="00CC4040">
        <w:rPr>
          <w:rFonts w:cstheme="minorHAnsi"/>
        </w:rPr>
        <w:t xml:space="preserve">All </w:t>
      </w:r>
      <w:r w:rsidR="00621239" w:rsidRPr="00CC4040">
        <w:rPr>
          <w:rFonts w:cstheme="minorHAnsi"/>
        </w:rPr>
        <w:t xml:space="preserve">disclosed </w:t>
      </w:r>
      <w:r w:rsidRPr="00CC4040">
        <w:rPr>
          <w:rFonts w:cstheme="minorHAnsi"/>
        </w:rPr>
        <w:t>experts’ reports (to include experts’ joint statements)</w:t>
      </w:r>
    </w:p>
    <w:p w14:paraId="1B9CD619" w14:textId="77777777" w:rsidR="00FB49C1" w:rsidRPr="00CC4040" w:rsidRDefault="00FB49C1" w:rsidP="007D25F4">
      <w:pPr>
        <w:pStyle w:val="ListParagraph"/>
        <w:ind w:left="1985"/>
        <w:jc w:val="both"/>
        <w:rPr>
          <w:rFonts w:cstheme="minorHAnsi"/>
        </w:rPr>
      </w:pPr>
      <w:r w:rsidRPr="00CC4040">
        <w:rPr>
          <w:rFonts w:cstheme="minorHAnsi"/>
        </w:rPr>
        <w:t>arranged in chronological order.</w:t>
      </w:r>
    </w:p>
    <w:p w14:paraId="6ACE4F47" w14:textId="77777777" w:rsidR="00FB49C1" w:rsidRPr="00CC4040" w:rsidRDefault="00FB49C1" w:rsidP="007D25F4">
      <w:pPr>
        <w:pStyle w:val="ListParagraph"/>
        <w:ind w:left="709"/>
        <w:jc w:val="both"/>
        <w:rPr>
          <w:rFonts w:cstheme="minorHAnsi"/>
        </w:rPr>
      </w:pPr>
    </w:p>
    <w:p w14:paraId="07C43A9A" w14:textId="77777777" w:rsidR="00FB49C1" w:rsidRPr="00CC4040" w:rsidRDefault="00FB49C1" w:rsidP="0021393F">
      <w:pPr>
        <w:pStyle w:val="ListParagraph"/>
        <w:numPr>
          <w:ilvl w:val="1"/>
          <w:numId w:val="17"/>
        </w:numPr>
        <w:ind w:left="709" w:firstLine="0"/>
        <w:jc w:val="both"/>
        <w:rPr>
          <w:rFonts w:cstheme="minorHAnsi"/>
        </w:rPr>
      </w:pPr>
      <w:r w:rsidRPr="00CC4040">
        <w:rPr>
          <w:rFonts w:cstheme="minorHAnsi"/>
        </w:rPr>
        <w:t>Precedent Q (if the case was subject to a Costs Management Order);</w:t>
      </w:r>
    </w:p>
    <w:p w14:paraId="0E08D754" w14:textId="77777777" w:rsidR="00FB49C1" w:rsidRPr="00CC4040" w:rsidRDefault="00FB49C1" w:rsidP="007D25F4">
      <w:pPr>
        <w:pStyle w:val="ListParagraph"/>
        <w:ind w:left="709"/>
        <w:jc w:val="both"/>
        <w:rPr>
          <w:rFonts w:cstheme="minorHAnsi"/>
        </w:rPr>
      </w:pPr>
    </w:p>
    <w:p w14:paraId="0A84D3B1" w14:textId="77777777" w:rsidR="000E0A26" w:rsidRPr="00CC4040" w:rsidRDefault="00FB49C1" w:rsidP="0021393F">
      <w:pPr>
        <w:pStyle w:val="ListParagraph"/>
        <w:numPr>
          <w:ilvl w:val="1"/>
          <w:numId w:val="17"/>
        </w:numPr>
        <w:ind w:left="709" w:firstLine="0"/>
        <w:jc w:val="both"/>
        <w:rPr>
          <w:rFonts w:cstheme="minorHAnsi"/>
        </w:rPr>
      </w:pPr>
      <w:r w:rsidRPr="00CC4040">
        <w:rPr>
          <w:rFonts w:cstheme="minorHAnsi"/>
        </w:rPr>
        <w:t>The receiving party’s last approved Costs Budget;</w:t>
      </w:r>
    </w:p>
    <w:p w14:paraId="24B9F276" w14:textId="77777777" w:rsidR="000E0A26" w:rsidRPr="00CC4040" w:rsidRDefault="000E0A26" w:rsidP="000E0A26">
      <w:pPr>
        <w:pStyle w:val="ListParagraph"/>
        <w:rPr>
          <w:rFonts w:cstheme="minorHAnsi"/>
        </w:rPr>
      </w:pPr>
    </w:p>
    <w:p w14:paraId="6DE11508" w14:textId="40E8E298" w:rsidR="00FB49C1" w:rsidRPr="00CC4040" w:rsidRDefault="001E462C" w:rsidP="0021393F">
      <w:pPr>
        <w:pStyle w:val="ListParagraph"/>
        <w:numPr>
          <w:ilvl w:val="1"/>
          <w:numId w:val="17"/>
        </w:numPr>
        <w:ind w:left="1418" w:hanging="709"/>
        <w:jc w:val="both"/>
        <w:rPr>
          <w:rFonts w:cstheme="minorHAnsi"/>
        </w:rPr>
      </w:pPr>
      <w:r w:rsidRPr="00CC4040">
        <w:rPr>
          <w:rFonts w:cstheme="minorHAnsi"/>
        </w:rPr>
        <w:t xml:space="preserve">All </w:t>
      </w:r>
      <w:r w:rsidR="00414F40" w:rsidRPr="00CC4040">
        <w:rPr>
          <w:rFonts w:cstheme="minorHAnsi"/>
        </w:rPr>
        <w:t xml:space="preserve">other </w:t>
      </w:r>
      <w:r w:rsidRPr="00CC4040">
        <w:rPr>
          <w:rFonts w:cstheme="minorHAnsi"/>
        </w:rPr>
        <w:t>d</w:t>
      </w:r>
      <w:r w:rsidR="00FB49C1" w:rsidRPr="00CC4040">
        <w:rPr>
          <w:rFonts w:cstheme="minorHAnsi"/>
        </w:rPr>
        <w:t xml:space="preserve">ocuments in support of the bill </w:t>
      </w:r>
      <w:r w:rsidRPr="00CC4040">
        <w:rPr>
          <w:rFonts w:cstheme="minorHAnsi"/>
        </w:rPr>
        <w:t xml:space="preserve">identified in CPR 47PD13.12. Wherever possible, documents should be prepared </w:t>
      </w:r>
      <w:r w:rsidR="00FB49C1" w:rsidRPr="00CC4040">
        <w:rPr>
          <w:rFonts w:cstheme="minorHAnsi"/>
        </w:rPr>
        <w:t xml:space="preserve">in the order in which those documents will </w:t>
      </w:r>
      <w:r w:rsidRPr="00CC4040">
        <w:rPr>
          <w:rFonts w:cstheme="minorHAnsi"/>
        </w:rPr>
        <w:t xml:space="preserve">likely </w:t>
      </w:r>
      <w:r w:rsidR="00FB49C1" w:rsidRPr="00CC4040">
        <w:rPr>
          <w:rFonts w:cstheme="minorHAnsi"/>
        </w:rPr>
        <w:t>be considered by the court, on the assumption that the points of dispute will be taken in turn.</w:t>
      </w:r>
    </w:p>
    <w:p w14:paraId="6EF0B589" w14:textId="77777777" w:rsidR="00FB49C1" w:rsidRPr="00CC4040" w:rsidRDefault="00FB49C1" w:rsidP="00EF7109">
      <w:pPr>
        <w:pStyle w:val="ListParagraph"/>
        <w:ind w:left="709" w:hanging="709"/>
        <w:rPr>
          <w:rFonts w:cstheme="minorHAnsi"/>
        </w:rPr>
      </w:pPr>
    </w:p>
    <w:p w14:paraId="6EA841E8" w14:textId="0E3A2668" w:rsidR="0021393F" w:rsidRDefault="00FB49C1" w:rsidP="0021393F">
      <w:pPr>
        <w:pStyle w:val="ListParagraph"/>
        <w:numPr>
          <w:ilvl w:val="0"/>
          <w:numId w:val="17"/>
        </w:numPr>
        <w:jc w:val="both"/>
        <w:rPr>
          <w:rFonts w:cstheme="minorHAnsi"/>
        </w:rPr>
      </w:pPr>
      <w:r w:rsidRPr="0021393F">
        <w:rPr>
          <w:rFonts w:cstheme="minorHAnsi"/>
        </w:rPr>
        <w:t xml:space="preserve">The identity of the documents referred to </w:t>
      </w:r>
      <w:proofErr w:type="spellStart"/>
      <w:r w:rsidRPr="0021393F">
        <w:rPr>
          <w:rFonts w:cstheme="minorHAnsi"/>
        </w:rPr>
        <w:t>at</w:t>
      </w:r>
      <w:proofErr w:type="spellEnd"/>
      <w:r w:rsidRPr="0021393F">
        <w:rPr>
          <w:rFonts w:cstheme="minorHAnsi"/>
        </w:rPr>
        <w:t xml:space="preserve"> </w:t>
      </w:r>
      <w:r w:rsidRPr="00977069">
        <w:rPr>
          <w:rFonts w:cstheme="minorHAnsi"/>
        </w:rPr>
        <w:t xml:space="preserve">paragraph </w:t>
      </w:r>
      <w:r w:rsidR="00660D9D" w:rsidRPr="00977069">
        <w:rPr>
          <w:rFonts w:cstheme="minorHAnsi"/>
        </w:rPr>
        <w:t>2</w:t>
      </w:r>
      <w:r w:rsidR="007A6067">
        <w:rPr>
          <w:rFonts w:cstheme="minorHAnsi"/>
        </w:rPr>
        <w:t>2</w:t>
      </w:r>
      <w:r w:rsidRPr="00977069">
        <w:rPr>
          <w:rFonts w:cstheme="minorHAnsi"/>
        </w:rPr>
        <w:t>(a)-(</w:t>
      </w:r>
      <w:r w:rsidR="000E0A26" w:rsidRPr="00977069">
        <w:rPr>
          <w:rFonts w:cstheme="minorHAnsi"/>
        </w:rPr>
        <w:t>e</w:t>
      </w:r>
      <w:r w:rsidRPr="00977069">
        <w:rPr>
          <w:rFonts w:cstheme="minorHAnsi"/>
        </w:rPr>
        <w:t>)</w:t>
      </w:r>
      <w:r w:rsidRPr="0021393F">
        <w:rPr>
          <w:rFonts w:cstheme="minorHAnsi"/>
        </w:rPr>
        <w:t xml:space="preserve"> inclusive should be agreed between the parties. At the same time as filing the </w:t>
      </w:r>
      <w:proofErr w:type="spellStart"/>
      <w:r w:rsidR="0093233C" w:rsidRPr="0021393F">
        <w:rPr>
          <w:rFonts w:cstheme="minorHAnsi"/>
        </w:rPr>
        <w:t>eBundle</w:t>
      </w:r>
      <w:proofErr w:type="spellEnd"/>
      <w:r w:rsidRPr="0021393F">
        <w:rPr>
          <w:rFonts w:cstheme="minorHAnsi"/>
        </w:rPr>
        <w:t xml:space="preserve"> at court, the receiving party must serve by email upon the paying party, or otherwise make available to the paying party at an online data room, a copy of the </w:t>
      </w:r>
      <w:proofErr w:type="spellStart"/>
      <w:r w:rsidR="0093233C" w:rsidRPr="0021393F">
        <w:rPr>
          <w:rFonts w:cstheme="minorHAnsi"/>
        </w:rPr>
        <w:t>eBundle</w:t>
      </w:r>
      <w:proofErr w:type="spellEnd"/>
      <w:r w:rsidRPr="0021393F">
        <w:rPr>
          <w:rFonts w:cstheme="minorHAnsi"/>
        </w:rPr>
        <w:t xml:space="preserve">, save that the documents referred to </w:t>
      </w:r>
      <w:proofErr w:type="spellStart"/>
      <w:r w:rsidRPr="00977069">
        <w:rPr>
          <w:rFonts w:cstheme="minorHAnsi"/>
        </w:rPr>
        <w:t>at</w:t>
      </w:r>
      <w:proofErr w:type="spellEnd"/>
      <w:r w:rsidRPr="00977069">
        <w:rPr>
          <w:rFonts w:cstheme="minorHAnsi"/>
        </w:rPr>
        <w:t xml:space="preserve"> paragraph </w:t>
      </w:r>
      <w:r w:rsidR="00660D9D" w:rsidRPr="00977069">
        <w:rPr>
          <w:rFonts w:cstheme="minorHAnsi"/>
        </w:rPr>
        <w:t>2</w:t>
      </w:r>
      <w:r w:rsidR="007A6067">
        <w:rPr>
          <w:rFonts w:cstheme="minorHAnsi"/>
        </w:rPr>
        <w:t>2</w:t>
      </w:r>
      <w:r w:rsidRPr="00977069">
        <w:rPr>
          <w:rFonts w:cstheme="minorHAnsi"/>
        </w:rPr>
        <w:t>(</w:t>
      </w:r>
      <w:r w:rsidR="000E0A26" w:rsidRPr="00977069">
        <w:rPr>
          <w:rFonts w:cstheme="minorHAnsi"/>
        </w:rPr>
        <w:t>f</w:t>
      </w:r>
      <w:r w:rsidRPr="00977069">
        <w:rPr>
          <w:rFonts w:cstheme="minorHAnsi"/>
        </w:rPr>
        <w:t>) above</w:t>
      </w:r>
      <w:r w:rsidRPr="0021393F">
        <w:rPr>
          <w:rFonts w:cstheme="minorHAnsi"/>
        </w:rPr>
        <w:t xml:space="preserve"> may be excluded. For the avoidance of doubt, pagination of the served </w:t>
      </w:r>
      <w:proofErr w:type="spellStart"/>
      <w:r w:rsidR="0093233C" w:rsidRPr="0021393F">
        <w:rPr>
          <w:rFonts w:cstheme="minorHAnsi"/>
        </w:rPr>
        <w:t>eBundle</w:t>
      </w:r>
      <w:proofErr w:type="spellEnd"/>
      <w:r w:rsidRPr="0021393F">
        <w:rPr>
          <w:rFonts w:cstheme="minorHAnsi"/>
        </w:rPr>
        <w:t xml:space="preserve"> should match the court’s </w:t>
      </w:r>
      <w:proofErr w:type="spellStart"/>
      <w:r w:rsidR="0093233C" w:rsidRPr="0021393F">
        <w:rPr>
          <w:rFonts w:cstheme="minorHAnsi"/>
        </w:rPr>
        <w:t>eBundle</w:t>
      </w:r>
      <w:proofErr w:type="spellEnd"/>
      <w:r w:rsidRPr="0021393F">
        <w:rPr>
          <w:rFonts w:cstheme="minorHAnsi"/>
        </w:rPr>
        <w:t xml:space="preserve"> for ease of reference during the hearing.</w:t>
      </w:r>
    </w:p>
    <w:p w14:paraId="29006285" w14:textId="77777777" w:rsidR="0021393F" w:rsidRDefault="0021393F" w:rsidP="0021393F">
      <w:pPr>
        <w:pStyle w:val="ListParagraph"/>
        <w:ind w:left="360"/>
        <w:jc w:val="both"/>
        <w:rPr>
          <w:rFonts w:cstheme="minorHAnsi"/>
        </w:rPr>
      </w:pPr>
    </w:p>
    <w:p w14:paraId="3F91C3C1" w14:textId="34C2DDD9" w:rsidR="0021393F" w:rsidRDefault="00FB49C1" w:rsidP="0021393F">
      <w:pPr>
        <w:pStyle w:val="ListParagraph"/>
        <w:numPr>
          <w:ilvl w:val="0"/>
          <w:numId w:val="17"/>
        </w:numPr>
        <w:jc w:val="both"/>
        <w:rPr>
          <w:rFonts w:cstheme="minorHAnsi"/>
        </w:rPr>
      </w:pPr>
      <w:r w:rsidRPr="00977069">
        <w:rPr>
          <w:rFonts w:cstheme="minorHAnsi"/>
        </w:rPr>
        <w:lastRenderedPageBreak/>
        <w:t xml:space="preserve">It is a matter for the receiving party which documents they choose to include in respect of the direction at paragraph </w:t>
      </w:r>
      <w:r w:rsidR="00660D9D" w:rsidRPr="00977069">
        <w:rPr>
          <w:rFonts w:cstheme="minorHAnsi"/>
        </w:rPr>
        <w:t>2</w:t>
      </w:r>
      <w:r w:rsidR="007A6067">
        <w:rPr>
          <w:rFonts w:cstheme="minorHAnsi"/>
        </w:rPr>
        <w:t>2</w:t>
      </w:r>
      <w:r w:rsidR="00121F3B" w:rsidRPr="00977069">
        <w:rPr>
          <w:rFonts w:cstheme="minorHAnsi"/>
        </w:rPr>
        <w:t>(</w:t>
      </w:r>
      <w:r w:rsidR="000E0A26" w:rsidRPr="00977069">
        <w:rPr>
          <w:rFonts w:cstheme="minorHAnsi"/>
        </w:rPr>
        <w:t>f</w:t>
      </w:r>
      <w:r w:rsidRPr="00977069">
        <w:rPr>
          <w:rFonts w:cstheme="minorHAnsi"/>
        </w:rPr>
        <w:t>) above. It should be borne in mind that the</w:t>
      </w:r>
      <w:r w:rsidRPr="0021393F">
        <w:rPr>
          <w:rFonts w:cstheme="minorHAnsi"/>
        </w:rPr>
        <w:t xml:space="preserve"> Judge will not have access to any documents not included within the </w:t>
      </w:r>
      <w:proofErr w:type="spellStart"/>
      <w:r w:rsidR="0093233C" w:rsidRPr="0021393F">
        <w:rPr>
          <w:rFonts w:cstheme="minorHAnsi"/>
        </w:rPr>
        <w:t>eBundle</w:t>
      </w:r>
      <w:proofErr w:type="spellEnd"/>
      <w:r w:rsidRPr="0021393F">
        <w:rPr>
          <w:rFonts w:cstheme="minorHAnsi"/>
        </w:rPr>
        <w:t xml:space="preserve"> and so it must be complete.</w:t>
      </w:r>
      <w:r w:rsidR="006018BB">
        <w:rPr>
          <w:rFonts w:cstheme="minorHAnsi"/>
        </w:rPr>
        <w:t xml:space="preserve"> T</w:t>
      </w:r>
      <w:r w:rsidR="006018BB" w:rsidRPr="006018BB">
        <w:rPr>
          <w:rFonts w:cstheme="minorHAnsi"/>
        </w:rPr>
        <w:t>h</w:t>
      </w:r>
      <w:r w:rsidR="006018BB">
        <w:rPr>
          <w:rFonts w:cstheme="minorHAnsi"/>
        </w:rPr>
        <w:t>is</w:t>
      </w:r>
      <w:r w:rsidR="006018BB" w:rsidRPr="006018BB">
        <w:rPr>
          <w:rFonts w:cstheme="minorHAnsi"/>
        </w:rPr>
        <w:t xml:space="preserve"> does not alter the documents which must be provided in accordance with CPR 47PD 13.12. As such, the court should be in a position to consider any document it would have wished to consider at a hearing attended in person.</w:t>
      </w:r>
    </w:p>
    <w:p w14:paraId="560FABA3" w14:textId="77777777" w:rsidR="0021393F" w:rsidRPr="0021393F" w:rsidRDefault="0021393F" w:rsidP="0021393F">
      <w:pPr>
        <w:pStyle w:val="ListParagraph"/>
        <w:rPr>
          <w:rFonts w:cstheme="minorHAnsi"/>
        </w:rPr>
      </w:pPr>
    </w:p>
    <w:p w14:paraId="02CA2F3A" w14:textId="77777777" w:rsidR="0021393F" w:rsidRDefault="00FB49C1" w:rsidP="0021393F">
      <w:pPr>
        <w:pStyle w:val="ListParagraph"/>
        <w:numPr>
          <w:ilvl w:val="0"/>
          <w:numId w:val="17"/>
        </w:numPr>
        <w:jc w:val="both"/>
        <w:rPr>
          <w:rFonts w:cstheme="minorHAnsi"/>
        </w:rPr>
      </w:pPr>
      <w:r w:rsidRPr="0021393F">
        <w:rPr>
          <w:rFonts w:cstheme="minorHAnsi"/>
        </w:rPr>
        <w:t xml:space="preserve">At the detailed assessment hearing, the receiving party’s advocate should be prepared to direct the Judge to the relevant page numbers of documents in the </w:t>
      </w:r>
      <w:proofErr w:type="spellStart"/>
      <w:r w:rsidR="0093233C" w:rsidRPr="0021393F">
        <w:rPr>
          <w:rFonts w:cstheme="minorHAnsi"/>
        </w:rPr>
        <w:t>eBundle</w:t>
      </w:r>
      <w:proofErr w:type="spellEnd"/>
      <w:r w:rsidRPr="0021393F">
        <w:rPr>
          <w:rFonts w:cstheme="minorHAnsi"/>
        </w:rPr>
        <w:t xml:space="preserve"> when dealing with each point of dispute.</w:t>
      </w:r>
    </w:p>
    <w:p w14:paraId="21827D05" w14:textId="77777777" w:rsidR="0021393F" w:rsidRPr="0021393F" w:rsidRDefault="0021393F" w:rsidP="0021393F">
      <w:pPr>
        <w:pStyle w:val="ListParagraph"/>
        <w:rPr>
          <w:rFonts w:cstheme="minorHAnsi"/>
        </w:rPr>
      </w:pPr>
    </w:p>
    <w:p w14:paraId="11F32FD0" w14:textId="0BDB9AB1" w:rsidR="00121F3B" w:rsidRPr="0021393F" w:rsidRDefault="00121F3B" w:rsidP="0021393F">
      <w:pPr>
        <w:pStyle w:val="ListParagraph"/>
        <w:numPr>
          <w:ilvl w:val="0"/>
          <w:numId w:val="17"/>
        </w:numPr>
        <w:jc w:val="both"/>
        <w:rPr>
          <w:rFonts w:cstheme="minorHAnsi"/>
        </w:rPr>
      </w:pPr>
      <w:r w:rsidRPr="0021393F">
        <w:rPr>
          <w:rFonts w:cstheme="minorHAnsi"/>
        </w:rPr>
        <w:t>The Offers bundle should comprise a single .pdf file. If paginated, page numbers must match the ‘electronic’ page number of the .pdf file. The file should require a password to open. The password should not be communicated to the court until such time as the assessment has concluded and the court is entitled to see the offers. The receiving party’s advocate must be in a position to provide the password to the court at the conclusion of the hearing.</w:t>
      </w:r>
    </w:p>
    <w:p w14:paraId="4F645FF0" w14:textId="77777777" w:rsidR="000923A5" w:rsidRPr="00CC4040" w:rsidRDefault="000923A5" w:rsidP="000923A5">
      <w:pPr>
        <w:pStyle w:val="ListParagraph"/>
        <w:rPr>
          <w:rFonts w:cstheme="minorHAnsi"/>
        </w:rPr>
      </w:pPr>
    </w:p>
    <w:p w14:paraId="52D4F914" w14:textId="63C0AD82" w:rsidR="000923A5" w:rsidRPr="00CC4040" w:rsidRDefault="000923A5" w:rsidP="000923A5">
      <w:pPr>
        <w:ind w:left="720" w:hanging="720"/>
        <w:jc w:val="both"/>
        <w:rPr>
          <w:rFonts w:cstheme="minorHAnsi"/>
          <w:i/>
          <w:iCs/>
        </w:rPr>
      </w:pPr>
      <w:r w:rsidRPr="00CC4040">
        <w:rPr>
          <w:rFonts w:cstheme="minorHAnsi"/>
          <w:i/>
          <w:iCs/>
        </w:rPr>
        <w:t>Oral reviews of provisional assessment listed pursuant to a CPR 47.15(7) request</w:t>
      </w:r>
    </w:p>
    <w:p w14:paraId="121D54C5" w14:textId="77777777" w:rsidR="0021393F" w:rsidRDefault="0021393F" w:rsidP="0021393F">
      <w:pPr>
        <w:jc w:val="both"/>
        <w:rPr>
          <w:rFonts w:cstheme="minorHAnsi"/>
        </w:rPr>
      </w:pPr>
    </w:p>
    <w:p w14:paraId="276EAC46" w14:textId="6258EA32" w:rsidR="000923A5" w:rsidRPr="0021393F" w:rsidRDefault="000923A5" w:rsidP="0021393F">
      <w:pPr>
        <w:pStyle w:val="ListParagraph"/>
        <w:numPr>
          <w:ilvl w:val="0"/>
          <w:numId w:val="17"/>
        </w:numPr>
        <w:jc w:val="both"/>
        <w:rPr>
          <w:rFonts w:cstheme="minorHAnsi"/>
        </w:rPr>
      </w:pPr>
      <w:r w:rsidRPr="0021393F">
        <w:rPr>
          <w:rFonts w:cstheme="minorHAnsi"/>
        </w:rPr>
        <w:t>Paragraphs 1</w:t>
      </w:r>
      <w:r w:rsidR="00FC51E9">
        <w:rPr>
          <w:rFonts w:cstheme="minorHAnsi"/>
        </w:rPr>
        <w:t>0</w:t>
      </w:r>
      <w:r w:rsidRPr="0021393F">
        <w:rPr>
          <w:rFonts w:cstheme="minorHAnsi"/>
        </w:rPr>
        <w:t>-2</w:t>
      </w:r>
      <w:r w:rsidR="007A6067">
        <w:rPr>
          <w:rFonts w:cstheme="minorHAnsi"/>
        </w:rPr>
        <w:t>6</w:t>
      </w:r>
      <w:r w:rsidRPr="0021393F">
        <w:rPr>
          <w:rFonts w:cstheme="minorHAnsi"/>
        </w:rPr>
        <w:t xml:space="preserve"> above apply to oral reviews of provisional assessment</w:t>
      </w:r>
      <w:r w:rsidR="00027CF9" w:rsidRPr="0021393F">
        <w:rPr>
          <w:rFonts w:cstheme="minorHAnsi"/>
        </w:rPr>
        <w:t>s</w:t>
      </w:r>
      <w:r w:rsidRPr="0021393F">
        <w:rPr>
          <w:rFonts w:cstheme="minorHAnsi"/>
        </w:rPr>
        <w:t xml:space="preserve"> listed pursuant to a CPR 47.15(7) request </w:t>
      </w:r>
      <w:r w:rsidR="004713EE" w:rsidRPr="0021393F">
        <w:rPr>
          <w:rFonts w:cstheme="minorHAnsi"/>
        </w:rPr>
        <w:t xml:space="preserve">save that </w:t>
      </w:r>
      <w:r w:rsidRPr="0021393F">
        <w:rPr>
          <w:rFonts w:cstheme="minorHAnsi"/>
        </w:rPr>
        <w:t xml:space="preserve">the documents referred to </w:t>
      </w:r>
      <w:proofErr w:type="spellStart"/>
      <w:r w:rsidRPr="00EA5905">
        <w:rPr>
          <w:rFonts w:cstheme="minorHAnsi"/>
        </w:rPr>
        <w:t>at</w:t>
      </w:r>
      <w:proofErr w:type="spellEnd"/>
      <w:r w:rsidRPr="00EA5905">
        <w:rPr>
          <w:rFonts w:cstheme="minorHAnsi"/>
        </w:rPr>
        <w:t xml:space="preserve"> paragraph </w:t>
      </w:r>
      <w:r w:rsidR="00660D9D" w:rsidRPr="00EA5905">
        <w:rPr>
          <w:rFonts w:cstheme="minorHAnsi"/>
        </w:rPr>
        <w:t>2</w:t>
      </w:r>
      <w:r w:rsidR="007A6067" w:rsidRPr="00EA5905">
        <w:rPr>
          <w:rFonts w:cstheme="minorHAnsi"/>
        </w:rPr>
        <w:t>2</w:t>
      </w:r>
      <w:r w:rsidRPr="00EA5905">
        <w:rPr>
          <w:rFonts w:cstheme="minorHAnsi"/>
        </w:rPr>
        <w:t>(</w:t>
      </w:r>
      <w:r w:rsidR="000E0A26" w:rsidRPr="00EA5905">
        <w:rPr>
          <w:rFonts w:cstheme="minorHAnsi"/>
        </w:rPr>
        <w:t>f</w:t>
      </w:r>
      <w:r w:rsidRPr="00EA5905">
        <w:rPr>
          <w:rFonts w:cstheme="minorHAnsi"/>
        </w:rPr>
        <w:t>)</w:t>
      </w:r>
      <w:r w:rsidRPr="0021393F">
        <w:rPr>
          <w:rFonts w:cstheme="minorHAnsi"/>
        </w:rPr>
        <w:t xml:space="preserve"> should be limited to documents in respect of those points of dispute which are under review.</w:t>
      </w:r>
    </w:p>
    <w:p w14:paraId="350233FE" w14:textId="1C41368F" w:rsidR="004713EE" w:rsidRPr="00CC4040" w:rsidRDefault="004713EE" w:rsidP="004713EE">
      <w:pPr>
        <w:jc w:val="both"/>
        <w:rPr>
          <w:rFonts w:cstheme="minorHAnsi"/>
        </w:rPr>
      </w:pPr>
    </w:p>
    <w:p w14:paraId="0CD6BC6E" w14:textId="28CDF5DD" w:rsidR="004713EE" w:rsidRPr="00CC4040" w:rsidRDefault="004713EE" w:rsidP="004713EE">
      <w:pPr>
        <w:jc w:val="both"/>
        <w:rPr>
          <w:rFonts w:cstheme="minorHAnsi"/>
          <w:i/>
          <w:iCs/>
        </w:rPr>
      </w:pPr>
      <w:r w:rsidRPr="00CC4040">
        <w:rPr>
          <w:rFonts w:cstheme="minorHAnsi"/>
          <w:i/>
          <w:iCs/>
        </w:rPr>
        <w:t xml:space="preserve">Applications for the </w:t>
      </w:r>
      <w:r w:rsidR="00971C85">
        <w:rPr>
          <w:rFonts w:cstheme="minorHAnsi"/>
          <w:i/>
          <w:iCs/>
        </w:rPr>
        <w:t>c</w:t>
      </w:r>
      <w:r w:rsidRPr="00CC4040">
        <w:rPr>
          <w:rFonts w:cstheme="minorHAnsi"/>
          <w:i/>
          <w:iCs/>
        </w:rPr>
        <w:t>ourt to certify an amount payable from a child or protected party’s damages pursuant to CPR 46.4(4)</w:t>
      </w:r>
    </w:p>
    <w:p w14:paraId="3793D988" w14:textId="77777777" w:rsidR="0021393F" w:rsidRDefault="0021393F" w:rsidP="0021393F">
      <w:pPr>
        <w:jc w:val="both"/>
        <w:rPr>
          <w:rFonts w:cstheme="minorHAnsi"/>
        </w:rPr>
      </w:pPr>
    </w:p>
    <w:p w14:paraId="59988487" w14:textId="4707FCFC" w:rsidR="0021393F" w:rsidRDefault="004713EE" w:rsidP="0021393F">
      <w:pPr>
        <w:pStyle w:val="ListParagraph"/>
        <w:numPr>
          <w:ilvl w:val="0"/>
          <w:numId w:val="17"/>
        </w:numPr>
        <w:jc w:val="both"/>
        <w:rPr>
          <w:rFonts w:cstheme="minorHAnsi"/>
        </w:rPr>
      </w:pPr>
      <w:r w:rsidRPr="0021393F">
        <w:rPr>
          <w:rFonts w:cstheme="minorHAnsi"/>
        </w:rPr>
        <w:t>In respect of applications to certify an amount payable from a child or protected party’s damages pursuant to CPR r.46.</w:t>
      </w:r>
      <w:r w:rsidRPr="00EA5905">
        <w:rPr>
          <w:rFonts w:cstheme="minorHAnsi"/>
        </w:rPr>
        <w:t xml:space="preserve">4(4), paragraphs </w:t>
      </w:r>
      <w:r w:rsidR="00EA5905" w:rsidRPr="00EA5905">
        <w:rPr>
          <w:rFonts w:cstheme="minorHAnsi"/>
        </w:rPr>
        <w:t>17</w:t>
      </w:r>
      <w:r w:rsidR="00621239" w:rsidRPr="00EA5905">
        <w:rPr>
          <w:rFonts w:cstheme="minorHAnsi"/>
        </w:rPr>
        <w:t xml:space="preserve">(a), </w:t>
      </w:r>
      <w:r w:rsidR="00785BBC" w:rsidRPr="00EA5905">
        <w:rPr>
          <w:rFonts w:cstheme="minorHAnsi"/>
        </w:rPr>
        <w:t>(c)</w:t>
      </w:r>
      <w:r w:rsidR="00621239" w:rsidRPr="00EA5905">
        <w:rPr>
          <w:rFonts w:cstheme="minorHAnsi"/>
        </w:rPr>
        <w:t xml:space="preserve"> and (</w:t>
      </w:r>
      <w:r w:rsidR="00785BBC" w:rsidRPr="00EA5905">
        <w:rPr>
          <w:rFonts w:cstheme="minorHAnsi"/>
        </w:rPr>
        <w:t>e</w:t>
      </w:r>
      <w:r w:rsidR="00621239" w:rsidRPr="00EA5905">
        <w:rPr>
          <w:rFonts w:cstheme="minorHAnsi"/>
        </w:rPr>
        <w:t>)</w:t>
      </w:r>
      <w:r w:rsidRPr="00EA5905">
        <w:rPr>
          <w:rFonts w:cstheme="minorHAnsi"/>
        </w:rPr>
        <w:t>, 1</w:t>
      </w:r>
      <w:r w:rsidR="00EA5905" w:rsidRPr="00EA5905">
        <w:rPr>
          <w:rFonts w:cstheme="minorHAnsi"/>
        </w:rPr>
        <w:t>8</w:t>
      </w:r>
      <w:r w:rsidRPr="00EA5905">
        <w:rPr>
          <w:rFonts w:cstheme="minorHAnsi"/>
        </w:rPr>
        <w:t xml:space="preserve">, </w:t>
      </w:r>
      <w:r w:rsidR="00EA5905" w:rsidRPr="00EA5905">
        <w:rPr>
          <w:rFonts w:cstheme="minorHAnsi"/>
        </w:rPr>
        <w:t>20</w:t>
      </w:r>
      <w:r w:rsidRPr="00EA5905">
        <w:rPr>
          <w:rFonts w:cstheme="minorHAnsi"/>
        </w:rPr>
        <w:t xml:space="preserve">, </w:t>
      </w:r>
      <w:r w:rsidR="00EA5905" w:rsidRPr="00EA5905">
        <w:rPr>
          <w:rFonts w:cstheme="minorHAnsi"/>
        </w:rPr>
        <w:t>21</w:t>
      </w:r>
      <w:r w:rsidRPr="00EA5905">
        <w:rPr>
          <w:rFonts w:cstheme="minorHAnsi"/>
        </w:rPr>
        <w:t xml:space="preserve"> above</w:t>
      </w:r>
      <w:r w:rsidRPr="0021393F">
        <w:rPr>
          <w:rFonts w:cstheme="minorHAnsi"/>
        </w:rPr>
        <w:t xml:space="preserve"> shall apply</w:t>
      </w:r>
      <w:r w:rsidR="00D13E39" w:rsidRPr="0021393F">
        <w:rPr>
          <w:rFonts w:cstheme="minorHAnsi"/>
        </w:rPr>
        <w:t>, modified as set out below</w:t>
      </w:r>
      <w:r w:rsidRPr="0021393F">
        <w:rPr>
          <w:rFonts w:cstheme="minorHAnsi"/>
        </w:rPr>
        <w:t>.</w:t>
      </w:r>
    </w:p>
    <w:p w14:paraId="501ED817" w14:textId="77777777" w:rsidR="0021393F" w:rsidRDefault="0021393F" w:rsidP="0021393F">
      <w:pPr>
        <w:pStyle w:val="ListParagraph"/>
        <w:ind w:left="360"/>
        <w:jc w:val="both"/>
        <w:rPr>
          <w:rFonts w:cstheme="minorHAnsi"/>
        </w:rPr>
      </w:pPr>
    </w:p>
    <w:p w14:paraId="03CB040E" w14:textId="77777777" w:rsidR="0021393F" w:rsidRDefault="00DD6D23" w:rsidP="0021393F">
      <w:pPr>
        <w:pStyle w:val="ListParagraph"/>
        <w:numPr>
          <w:ilvl w:val="0"/>
          <w:numId w:val="17"/>
        </w:numPr>
        <w:jc w:val="both"/>
        <w:rPr>
          <w:rFonts w:cstheme="minorHAnsi"/>
        </w:rPr>
      </w:pPr>
      <w:r w:rsidRPr="0021393F">
        <w:rPr>
          <w:rFonts w:cstheme="minorHAnsi"/>
        </w:rPr>
        <w:t>Reference to the “receiving party” should be taken as a reference to the applicant.</w:t>
      </w:r>
    </w:p>
    <w:p w14:paraId="1E673DB7" w14:textId="77777777" w:rsidR="0021393F" w:rsidRPr="0021393F" w:rsidRDefault="0021393F" w:rsidP="0021393F">
      <w:pPr>
        <w:pStyle w:val="ListParagraph"/>
        <w:rPr>
          <w:rFonts w:cstheme="minorHAnsi"/>
        </w:rPr>
      </w:pPr>
    </w:p>
    <w:p w14:paraId="7A3E8C6F" w14:textId="011AA10C" w:rsidR="0021393F" w:rsidRDefault="004713EE" w:rsidP="0021393F">
      <w:pPr>
        <w:pStyle w:val="ListParagraph"/>
        <w:numPr>
          <w:ilvl w:val="0"/>
          <w:numId w:val="17"/>
        </w:numPr>
        <w:jc w:val="both"/>
        <w:rPr>
          <w:rFonts w:cstheme="minorHAnsi"/>
        </w:rPr>
      </w:pPr>
      <w:r w:rsidRPr="0021393F">
        <w:rPr>
          <w:rFonts w:cstheme="minorHAnsi"/>
        </w:rPr>
        <w:t xml:space="preserve">In such applications, the </w:t>
      </w:r>
      <w:proofErr w:type="spellStart"/>
      <w:r w:rsidRPr="0021393F">
        <w:rPr>
          <w:rFonts w:cstheme="minorHAnsi"/>
        </w:rPr>
        <w:t>eBundle</w:t>
      </w:r>
      <w:proofErr w:type="spellEnd"/>
      <w:r w:rsidRPr="0021393F">
        <w:rPr>
          <w:rFonts w:cstheme="minorHAnsi"/>
        </w:rPr>
        <w:t xml:space="preserve"> should comprise the documents required by CPR 21PD11, plus any other supporting documents upon which the applicant relies.</w:t>
      </w:r>
      <w:r w:rsidR="00EA5905">
        <w:rPr>
          <w:rFonts w:cstheme="minorHAnsi"/>
        </w:rPr>
        <w:t xml:space="preserve"> The court may direct specific documents should be included.</w:t>
      </w:r>
    </w:p>
    <w:p w14:paraId="4C9E783B" w14:textId="77777777" w:rsidR="0021393F" w:rsidRPr="0021393F" w:rsidRDefault="0021393F" w:rsidP="0021393F">
      <w:pPr>
        <w:pStyle w:val="ListParagraph"/>
        <w:rPr>
          <w:rFonts w:cstheme="minorHAnsi"/>
        </w:rPr>
      </w:pPr>
    </w:p>
    <w:p w14:paraId="76880A19" w14:textId="044F88C4" w:rsidR="004713EE" w:rsidRPr="0021393F" w:rsidRDefault="004713EE" w:rsidP="0021393F">
      <w:pPr>
        <w:pStyle w:val="ListParagraph"/>
        <w:numPr>
          <w:ilvl w:val="0"/>
          <w:numId w:val="17"/>
        </w:numPr>
        <w:jc w:val="both"/>
        <w:rPr>
          <w:rFonts w:cstheme="minorHAnsi"/>
        </w:rPr>
      </w:pPr>
      <w:r w:rsidRPr="0021393F">
        <w:rPr>
          <w:rFonts w:cstheme="minorHAnsi"/>
        </w:rPr>
        <w:t xml:space="preserve">In addition, the </w:t>
      </w:r>
      <w:proofErr w:type="spellStart"/>
      <w:r w:rsidRPr="0021393F">
        <w:rPr>
          <w:rFonts w:cstheme="minorHAnsi"/>
        </w:rPr>
        <w:t>eBundle</w:t>
      </w:r>
      <w:proofErr w:type="spellEnd"/>
      <w:r w:rsidRPr="0021393F">
        <w:rPr>
          <w:rFonts w:cstheme="minorHAnsi"/>
        </w:rPr>
        <w:t xml:space="preserve"> should include a copy of the Certificate of Suitability of a Litigation Friend, or any Order appointing a deputy.</w:t>
      </w:r>
    </w:p>
    <w:p w14:paraId="5BF847F5" w14:textId="6D7467EB" w:rsidR="004713EE" w:rsidRPr="00CC4040" w:rsidRDefault="004713EE" w:rsidP="004713EE">
      <w:pPr>
        <w:rPr>
          <w:rFonts w:cstheme="minorHAnsi"/>
        </w:rPr>
      </w:pPr>
    </w:p>
    <w:p w14:paraId="25C39217" w14:textId="759A077C" w:rsidR="004713EE" w:rsidRPr="00CC4040" w:rsidRDefault="004713EE" w:rsidP="004713EE">
      <w:pPr>
        <w:rPr>
          <w:rFonts w:cstheme="minorHAnsi"/>
          <w:u w:val="single"/>
        </w:rPr>
      </w:pPr>
      <w:r w:rsidRPr="00CC4040">
        <w:rPr>
          <w:rFonts w:cstheme="minorHAnsi"/>
          <w:u w:val="single"/>
        </w:rPr>
        <w:t>Conduct of the Remote Hearing</w:t>
      </w:r>
    </w:p>
    <w:p w14:paraId="51A29937" w14:textId="77777777" w:rsidR="004713EE" w:rsidRPr="00CC4040" w:rsidRDefault="004713EE" w:rsidP="004713EE">
      <w:pPr>
        <w:rPr>
          <w:rFonts w:cstheme="minorHAnsi"/>
        </w:rPr>
      </w:pPr>
    </w:p>
    <w:p w14:paraId="2B98EDC9" w14:textId="77777777" w:rsidR="0021393F" w:rsidRDefault="00F04046" w:rsidP="0021393F">
      <w:pPr>
        <w:pStyle w:val="ListParagraph"/>
        <w:numPr>
          <w:ilvl w:val="0"/>
          <w:numId w:val="17"/>
        </w:numPr>
        <w:jc w:val="both"/>
        <w:rPr>
          <w:rFonts w:cstheme="minorHAnsi"/>
        </w:rPr>
      </w:pPr>
      <w:r w:rsidRPr="0021393F">
        <w:rPr>
          <w:rFonts w:cstheme="minorHAnsi"/>
        </w:rPr>
        <w:t xml:space="preserve">If the remote hearing is to be conducted on a video platform, careful thought needs to be given to a number of matters.  </w:t>
      </w:r>
      <w:r w:rsidR="0066393B" w:rsidRPr="0021393F">
        <w:rPr>
          <w:rFonts w:cstheme="minorHAnsi"/>
        </w:rPr>
        <w:t xml:space="preserve">The parties are referred to </w:t>
      </w:r>
      <w:hyperlink r:id="rId7" w:history="1">
        <w:r w:rsidR="00164A65" w:rsidRPr="0021393F">
          <w:rPr>
            <w:rStyle w:val="Hyperlink"/>
            <w:rFonts w:cstheme="minorHAnsi"/>
          </w:rPr>
          <w:t>https://www.judiciary.uk/wp-content/uploads/2020/03/Civil-court-guidance-on-how-to-conduct-remote-hearings.pdf</w:t>
        </w:r>
      </w:hyperlink>
      <w:r w:rsidR="00CD2B3E" w:rsidRPr="0021393F">
        <w:rPr>
          <w:rFonts w:cstheme="minorHAnsi"/>
        </w:rPr>
        <w:t>.</w:t>
      </w:r>
    </w:p>
    <w:p w14:paraId="4AF92C65" w14:textId="77777777" w:rsidR="0021393F" w:rsidRDefault="0021393F" w:rsidP="0021393F">
      <w:pPr>
        <w:pStyle w:val="ListParagraph"/>
        <w:ind w:left="360"/>
        <w:jc w:val="both"/>
        <w:rPr>
          <w:rFonts w:cstheme="minorHAnsi"/>
        </w:rPr>
      </w:pPr>
    </w:p>
    <w:p w14:paraId="12838150" w14:textId="17B90B67" w:rsidR="0021393F" w:rsidRPr="0021393F" w:rsidRDefault="001E2394" w:rsidP="0021393F">
      <w:pPr>
        <w:pStyle w:val="ListParagraph"/>
        <w:numPr>
          <w:ilvl w:val="0"/>
          <w:numId w:val="17"/>
        </w:numPr>
        <w:jc w:val="both"/>
        <w:rPr>
          <w:rFonts w:cstheme="minorHAnsi"/>
        </w:rPr>
      </w:pPr>
      <w:r w:rsidRPr="0021393F">
        <w:rPr>
          <w:rFonts w:eastAsia="Times New Roman" w:cstheme="minorHAnsi"/>
          <w:color w:val="161A23"/>
          <w:lang w:eastAsia="en-GB"/>
        </w:rPr>
        <w:lastRenderedPageBreak/>
        <w:t xml:space="preserve">The court will </w:t>
      </w:r>
      <w:r w:rsidR="00EA5905">
        <w:rPr>
          <w:rFonts w:eastAsia="Times New Roman" w:cstheme="minorHAnsi"/>
          <w:color w:val="161A23"/>
          <w:lang w:eastAsia="en-GB"/>
        </w:rPr>
        <w:t xml:space="preserve">likely </w:t>
      </w:r>
      <w:r w:rsidRPr="0021393F">
        <w:rPr>
          <w:rFonts w:eastAsia="Times New Roman" w:cstheme="minorHAnsi"/>
          <w:color w:val="161A23"/>
          <w:lang w:eastAsia="en-GB"/>
        </w:rPr>
        <w:t xml:space="preserve">make arrangements for the hearing by way of email invitation to a </w:t>
      </w:r>
      <w:r w:rsidR="00EA5905">
        <w:rPr>
          <w:rFonts w:eastAsia="Times New Roman" w:cstheme="minorHAnsi"/>
          <w:color w:val="161A23"/>
          <w:lang w:eastAsia="en-GB"/>
        </w:rPr>
        <w:t>video</w:t>
      </w:r>
      <w:r w:rsidRPr="0021393F">
        <w:rPr>
          <w:rFonts w:eastAsia="Times New Roman" w:cstheme="minorHAnsi"/>
          <w:color w:val="161A23"/>
          <w:lang w:eastAsia="en-GB"/>
        </w:rPr>
        <w:t xml:space="preserve"> meeting</w:t>
      </w:r>
      <w:r w:rsidR="00AA0131" w:rsidRPr="0021393F">
        <w:rPr>
          <w:rFonts w:eastAsia="Times New Roman" w:cstheme="minorHAnsi"/>
          <w:color w:val="161A23"/>
          <w:lang w:eastAsia="en-GB"/>
        </w:rPr>
        <w:t xml:space="preserve"> to the email addresses provided for the advocates in accordance </w:t>
      </w:r>
      <w:r w:rsidR="00AA0131" w:rsidRPr="00660D9D">
        <w:rPr>
          <w:rFonts w:eastAsia="Times New Roman" w:cstheme="minorHAnsi"/>
          <w:color w:val="161A23"/>
          <w:lang w:eastAsia="en-GB"/>
        </w:rPr>
        <w:t xml:space="preserve">with </w:t>
      </w:r>
      <w:r w:rsidR="00AA0131" w:rsidRPr="00EA5905">
        <w:rPr>
          <w:rFonts w:eastAsia="Times New Roman" w:cstheme="minorHAnsi"/>
          <w:color w:val="161A23"/>
          <w:lang w:eastAsia="en-GB"/>
        </w:rPr>
        <w:t>paragraph 1</w:t>
      </w:r>
      <w:r w:rsidR="00EA5905" w:rsidRPr="00EA5905">
        <w:rPr>
          <w:rFonts w:eastAsia="Times New Roman" w:cstheme="minorHAnsi"/>
          <w:color w:val="161A23"/>
          <w:lang w:eastAsia="en-GB"/>
        </w:rPr>
        <w:t>7</w:t>
      </w:r>
      <w:r w:rsidR="00AA0131" w:rsidRPr="00EA5905">
        <w:rPr>
          <w:rFonts w:eastAsia="Times New Roman" w:cstheme="minorHAnsi"/>
          <w:color w:val="161A23"/>
          <w:lang w:eastAsia="en-GB"/>
        </w:rPr>
        <w:t>(e) above</w:t>
      </w:r>
      <w:r w:rsidRPr="0021393F">
        <w:rPr>
          <w:rFonts w:eastAsia="Times New Roman" w:cstheme="minorHAnsi"/>
          <w:color w:val="161A23"/>
          <w:lang w:eastAsia="en-GB"/>
        </w:rPr>
        <w:t>.</w:t>
      </w:r>
    </w:p>
    <w:p w14:paraId="5A04A524" w14:textId="77777777" w:rsidR="0021393F" w:rsidRPr="0021393F" w:rsidRDefault="0021393F" w:rsidP="0021393F">
      <w:pPr>
        <w:pStyle w:val="ListParagraph"/>
        <w:rPr>
          <w:rFonts w:eastAsia="Times New Roman" w:cstheme="minorHAnsi"/>
          <w:color w:val="161A23"/>
          <w:lang w:eastAsia="en-GB"/>
        </w:rPr>
      </w:pPr>
    </w:p>
    <w:p w14:paraId="06609108" w14:textId="77777777" w:rsidR="0021393F" w:rsidRPr="0021393F" w:rsidRDefault="001E2394" w:rsidP="0021393F">
      <w:pPr>
        <w:pStyle w:val="ListParagraph"/>
        <w:numPr>
          <w:ilvl w:val="0"/>
          <w:numId w:val="17"/>
        </w:numPr>
        <w:jc w:val="both"/>
        <w:rPr>
          <w:rFonts w:cstheme="minorHAnsi"/>
        </w:rPr>
      </w:pPr>
      <w:r w:rsidRPr="0021393F">
        <w:rPr>
          <w:rFonts w:eastAsia="Times New Roman" w:cstheme="minorHAnsi"/>
          <w:color w:val="161A23"/>
          <w:lang w:eastAsia="en-GB"/>
        </w:rPr>
        <w:t>All participants must ensure, in advance, that that they have installed and/or tested their ability to participate in the hearing.</w:t>
      </w:r>
    </w:p>
    <w:p w14:paraId="41A89FBF" w14:textId="77777777" w:rsidR="0021393F" w:rsidRPr="0021393F" w:rsidRDefault="0021393F" w:rsidP="0021393F">
      <w:pPr>
        <w:pStyle w:val="ListParagraph"/>
        <w:rPr>
          <w:rFonts w:eastAsia="Times New Roman" w:cstheme="minorHAnsi"/>
          <w:color w:val="161A23"/>
          <w:lang w:eastAsia="en-GB"/>
        </w:rPr>
      </w:pPr>
    </w:p>
    <w:p w14:paraId="7C80E417" w14:textId="3056A0B8" w:rsidR="001E2394" w:rsidRPr="0021393F" w:rsidRDefault="001E2394" w:rsidP="0021393F">
      <w:pPr>
        <w:pStyle w:val="ListParagraph"/>
        <w:numPr>
          <w:ilvl w:val="0"/>
          <w:numId w:val="17"/>
        </w:numPr>
        <w:jc w:val="both"/>
        <w:rPr>
          <w:rFonts w:cstheme="minorHAnsi"/>
        </w:rPr>
      </w:pPr>
      <w:r w:rsidRPr="0021393F">
        <w:rPr>
          <w:rFonts w:eastAsia="Times New Roman" w:cstheme="minorHAnsi"/>
          <w:color w:val="161A23"/>
          <w:lang w:eastAsia="en-GB"/>
        </w:rPr>
        <w:t>If any party has not received the invitation by 12 noon on the preceding day, they should contact the relevant court office urgently citing the case name and date of hearing. </w:t>
      </w:r>
    </w:p>
    <w:p w14:paraId="77BB2E21" w14:textId="77777777" w:rsidR="001E2394" w:rsidRPr="00CC4040" w:rsidRDefault="001E2394" w:rsidP="001E2394">
      <w:pPr>
        <w:pStyle w:val="ListParagraph"/>
        <w:rPr>
          <w:rFonts w:eastAsia="Times New Roman" w:cstheme="minorHAnsi"/>
          <w:color w:val="000000"/>
          <w:lang w:eastAsia="en-GB"/>
        </w:rPr>
      </w:pPr>
    </w:p>
    <w:p w14:paraId="199475E3" w14:textId="77777777" w:rsidR="0021393F" w:rsidRPr="0021393F" w:rsidRDefault="001E2394" w:rsidP="0021393F">
      <w:pPr>
        <w:pStyle w:val="ListParagraph"/>
        <w:numPr>
          <w:ilvl w:val="0"/>
          <w:numId w:val="17"/>
        </w:numPr>
        <w:jc w:val="both"/>
        <w:rPr>
          <w:rFonts w:eastAsia="Times New Roman" w:cstheme="minorHAnsi"/>
          <w:color w:val="161A23"/>
          <w:lang w:eastAsia="en-GB"/>
        </w:rPr>
      </w:pPr>
      <w:r w:rsidRPr="00CC4040">
        <w:rPr>
          <w:rFonts w:eastAsia="Times New Roman" w:cstheme="minorHAnsi"/>
          <w:color w:val="000000"/>
          <w:lang w:eastAsia="en-GB"/>
        </w:rPr>
        <w:t>If there is an unavoidable change in the representative it is for that party to make arrangements for any alteration in the invitation email in good time for any hearing. The parties are reminded that administrative support in the courts is greatly reduced now in this time of national crisis and late amendments will not always be able to be accommodated in time and may result in a hearing occurring in the absence of a party or being adjourned with potential cost consequences.</w:t>
      </w:r>
    </w:p>
    <w:p w14:paraId="6F7B53C3" w14:textId="77777777" w:rsidR="0021393F" w:rsidRPr="0021393F" w:rsidRDefault="0021393F" w:rsidP="0021393F">
      <w:pPr>
        <w:pStyle w:val="ListParagraph"/>
        <w:rPr>
          <w:rFonts w:eastAsia="Times New Roman" w:cstheme="minorHAnsi"/>
          <w:color w:val="000000"/>
          <w:lang w:eastAsia="en-GB"/>
        </w:rPr>
      </w:pPr>
    </w:p>
    <w:p w14:paraId="5FC8A357" w14:textId="77777777" w:rsidR="0021393F" w:rsidRPr="0021393F" w:rsidRDefault="001E2394" w:rsidP="0021393F">
      <w:pPr>
        <w:pStyle w:val="ListParagraph"/>
        <w:numPr>
          <w:ilvl w:val="0"/>
          <w:numId w:val="17"/>
        </w:numPr>
        <w:jc w:val="both"/>
        <w:rPr>
          <w:rFonts w:eastAsia="Times New Roman" w:cstheme="minorHAnsi"/>
          <w:color w:val="161A23"/>
          <w:lang w:eastAsia="en-GB"/>
        </w:rPr>
      </w:pPr>
      <w:r w:rsidRPr="0021393F">
        <w:rPr>
          <w:rFonts w:eastAsia="Times New Roman" w:cstheme="minorHAnsi"/>
          <w:color w:val="000000"/>
          <w:lang w:eastAsia="en-GB"/>
        </w:rPr>
        <w:t>In all remote hearing cases the parties must recognise that the hearings may not commence at the appointed time and/or conclude in the time estimate and must make themselves available well beyond the time allotted to allow for such contingencies which may include technical difficulties or cases running over. Legal representatives are reminded that it will not be appropriate for them to expect to be able to conduct multiple hearings in proximity of time as a consequence of these matters and costs orders may be made against them if they are unable to attend as required. </w:t>
      </w:r>
    </w:p>
    <w:p w14:paraId="2F2F2D67" w14:textId="77777777" w:rsidR="0021393F" w:rsidRPr="0021393F" w:rsidRDefault="0021393F" w:rsidP="0021393F">
      <w:pPr>
        <w:pStyle w:val="ListParagraph"/>
        <w:rPr>
          <w:rFonts w:cstheme="minorHAnsi"/>
        </w:rPr>
      </w:pPr>
    </w:p>
    <w:p w14:paraId="1CC05E3D" w14:textId="77777777" w:rsidR="0021393F" w:rsidRPr="0021393F" w:rsidRDefault="00D31F91" w:rsidP="0021393F">
      <w:pPr>
        <w:pStyle w:val="ListParagraph"/>
        <w:numPr>
          <w:ilvl w:val="0"/>
          <w:numId w:val="17"/>
        </w:numPr>
        <w:jc w:val="both"/>
        <w:rPr>
          <w:rFonts w:eastAsia="Times New Roman" w:cstheme="minorHAnsi"/>
          <w:color w:val="161A23"/>
          <w:lang w:eastAsia="en-GB"/>
        </w:rPr>
      </w:pPr>
      <w:r w:rsidRPr="0021393F">
        <w:rPr>
          <w:rFonts w:cstheme="minorHAnsi"/>
        </w:rPr>
        <w:t>The cour</w:t>
      </w:r>
      <w:r w:rsidR="007159A6" w:rsidRPr="0021393F">
        <w:rPr>
          <w:rFonts w:cstheme="minorHAnsi"/>
        </w:rPr>
        <w:t>t</w:t>
      </w:r>
      <w:r w:rsidRPr="0021393F">
        <w:rPr>
          <w:rFonts w:cstheme="minorHAnsi"/>
        </w:rPr>
        <w:t xml:space="preserve"> will </w:t>
      </w:r>
      <w:r w:rsidR="004713EE" w:rsidRPr="0021393F">
        <w:rPr>
          <w:rFonts w:cstheme="minorHAnsi"/>
        </w:rPr>
        <w:t xml:space="preserve">retain responsibility </w:t>
      </w:r>
      <w:r w:rsidRPr="0021393F">
        <w:rPr>
          <w:rFonts w:cstheme="minorHAnsi"/>
        </w:rPr>
        <w:t xml:space="preserve">for recording the hearing in accordance with </w:t>
      </w:r>
      <w:r w:rsidR="00592877" w:rsidRPr="0021393F">
        <w:rPr>
          <w:rFonts w:cstheme="minorHAnsi"/>
        </w:rPr>
        <w:t>T</w:t>
      </w:r>
      <w:r w:rsidRPr="0021393F">
        <w:rPr>
          <w:rFonts w:cstheme="minorHAnsi"/>
        </w:rPr>
        <w:t>he Protocol</w:t>
      </w:r>
      <w:r w:rsidR="007159A6" w:rsidRPr="0021393F">
        <w:rPr>
          <w:rFonts w:cstheme="minorHAnsi"/>
        </w:rPr>
        <w:t>.</w:t>
      </w:r>
    </w:p>
    <w:p w14:paraId="1AEC0F2C" w14:textId="77777777" w:rsidR="0021393F" w:rsidRPr="0021393F" w:rsidRDefault="0021393F" w:rsidP="0021393F">
      <w:pPr>
        <w:pStyle w:val="ListParagraph"/>
        <w:rPr>
          <w:rFonts w:cstheme="minorHAnsi"/>
        </w:rPr>
      </w:pPr>
    </w:p>
    <w:p w14:paraId="5941B84E" w14:textId="77777777" w:rsidR="0021393F" w:rsidRPr="0021393F" w:rsidRDefault="007F2C04" w:rsidP="0021393F">
      <w:pPr>
        <w:pStyle w:val="ListParagraph"/>
        <w:numPr>
          <w:ilvl w:val="0"/>
          <w:numId w:val="17"/>
        </w:numPr>
        <w:jc w:val="both"/>
        <w:rPr>
          <w:rFonts w:eastAsia="Times New Roman" w:cstheme="minorHAnsi"/>
          <w:color w:val="161A23"/>
          <w:lang w:eastAsia="en-GB"/>
        </w:rPr>
      </w:pPr>
      <w:r w:rsidRPr="0021393F">
        <w:rPr>
          <w:rFonts w:cstheme="minorHAnsi"/>
        </w:rPr>
        <w:t>The court will mark or amend the copy of the bill with which it has been provided during the course of the detailed assessment to reflect the decisions made.</w:t>
      </w:r>
    </w:p>
    <w:p w14:paraId="4948798D" w14:textId="77777777" w:rsidR="0021393F" w:rsidRPr="0021393F" w:rsidRDefault="0021393F" w:rsidP="0021393F">
      <w:pPr>
        <w:pStyle w:val="ListParagraph"/>
        <w:rPr>
          <w:rFonts w:cstheme="minorHAnsi"/>
        </w:rPr>
      </w:pPr>
    </w:p>
    <w:p w14:paraId="00EC77FF" w14:textId="77777777" w:rsidR="0021393F" w:rsidRPr="0021393F" w:rsidRDefault="00C75614" w:rsidP="0021393F">
      <w:pPr>
        <w:pStyle w:val="ListParagraph"/>
        <w:numPr>
          <w:ilvl w:val="0"/>
          <w:numId w:val="17"/>
        </w:numPr>
        <w:jc w:val="both"/>
        <w:rPr>
          <w:rFonts w:eastAsia="Times New Roman" w:cstheme="minorHAnsi"/>
          <w:color w:val="161A23"/>
          <w:lang w:eastAsia="en-GB"/>
        </w:rPr>
      </w:pPr>
      <w:r w:rsidRPr="0021393F">
        <w:rPr>
          <w:rFonts w:cstheme="minorHAnsi"/>
        </w:rPr>
        <w:t xml:space="preserve">If the paying party successfully invokes the Pamplin procedure codified in 47PD 13.13, </w:t>
      </w:r>
      <w:r w:rsidR="008A4A88" w:rsidRPr="0021393F">
        <w:rPr>
          <w:rFonts w:cstheme="minorHAnsi"/>
        </w:rPr>
        <w:t xml:space="preserve">and if the receiving party elects to disclose the document, </w:t>
      </w:r>
      <w:r w:rsidRPr="0021393F">
        <w:rPr>
          <w:rFonts w:cstheme="minorHAnsi"/>
        </w:rPr>
        <w:t xml:space="preserve">the </w:t>
      </w:r>
      <w:r w:rsidR="008A4A88" w:rsidRPr="0021393F">
        <w:rPr>
          <w:rFonts w:cstheme="minorHAnsi"/>
        </w:rPr>
        <w:t xml:space="preserve">court will </w:t>
      </w:r>
      <w:r w:rsidRPr="0021393F">
        <w:rPr>
          <w:rFonts w:cstheme="minorHAnsi"/>
        </w:rPr>
        <w:t>“</w:t>
      </w:r>
      <w:r w:rsidR="001611CF" w:rsidRPr="0021393F">
        <w:rPr>
          <w:rFonts w:cstheme="minorHAnsi"/>
        </w:rPr>
        <w:t>s</w:t>
      </w:r>
      <w:r w:rsidRPr="0021393F">
        <w:rPr>
          <w:rFonts w:cstheme="minorHAnsi"/>
        </w:rPr>
        <w:t xml:space="preserve">hare” that document </w:t>
      </w:r>
      <w:r w:rsidR="008A4A88" w:rsidRPr="0021393F">
        <w:rPr>
          <w:rFonts w:cstheme="minorHAnsi"/>
        </w:rPr>
        <w:t xml:space="preserve">with the parties </w:t>
      </w:r>
      <w:r w:rsidR="002D0041" w:rsidRPr="0021393F">
        <w:rPr>
          <w:rFonts w:cstheme="minorHAnsi"/>
        </w:rPr>
        <w:t>on the</w:t>
      </w:r>
      <w:r w:rsidRPr="0021393F">
        <w:rPr>
          <w:rFonts w:cstheme="minorHAnsi"/>
        </w:rPr>
        <w:t xml:space="preserve"> screen</w:t>
      </w:r>
      <w:r w:rsidR="008A4A88" w:rsidRPr="0021393F">
        <w:rPr>
          <w:rFonts w:cstheme="minorHAnsi"/>
        </w:rPr>
        <w:t xml:space="preserve">. Where that process is inadequate or inconvenient, </w:t>
      </w:r>
      <w:r w:rsidR="00637772" w:rsidRPr="0021393F">
        <w:rPr>
          <w:rFonts w:cstheme="minorHAnsi"/>
        </w:rPr>
        <w:t xml:space="preserve">the Judge will </w:t>
      </w:r>
      <w:r w:rsidR="00DE0254" w:rsidRPr="0021393F">
        <w:rPr>
          <w:rFonts w:cstheme="minorHAnsi"/>
        </w:rPr>
        <w:t xml:space="preserve">direct </w:t>
      </w:r>
      <w:r w:rsidR="00637772" w:rsidRPr="0021393F">
        <w:rPr>
          <w:rFonts w:cstheme="minorHAnsi"/>
        </w:rPr>
        <w:t>how the document(s) shall be disclosed.</w:t>
      </w:r>
    </w:p>
    <w:p w14:paraId="0AC42FE8" w14:textId="77777777" w:rsidR="0021393F" w:rsidRPr="0021393F" w:rsidRDefault="0021393F" w:rsidP="0021393F">
      <w:pPr>
        <w:pStyle w:val="ListParagraph"/>
        <w:rPr>
          <w:rFonts w:cstheme="minorHAnsi"/>
        </w:rPr>
      </w:pPr>
    </w:p>
    <w:p w14:paraId="51050FDF" w14:textId="77777777" w:rsidR="0021393F" w:rsidRPr="0021393F" w:rsidRDefault="00C0780B" w:rsidP="0021393F">
      <w:pPr>
        <w:pStyle w:val="ListParagraph"/>
        <w:numPr>
          <w:ilvl w:val="0"/>
          <w:numId w:val="17"/>
        </w:numPr>
        <w:jc w:val="both"/>
        <w:rPr>
          <w:rFonts w:eastAsia="Times New Roman" w:cstheme="minorHAnsi"/>
          <w:color w:val="161A23"/>
          <w:lang w:eastAsia="en-GB"/>
        </w:rPr>
      </w:pPr>
      <w:r w:rsidRPr="0021393F">
        <w:rPr>
          <w:rFonts w:cstheme="minorHAnsi"/>
        </w:rPr>
        <w:t xml:space="preserve">If, for any reason, </w:t>
      </w:r>
      <w:r w:rsidR="00D9449B" w:rsidRPr="0021393F">
        <w:rPr>
          <w:rFonts w:cstheme="minorHAnsi"/>
        </w:rPr>
        <w:t xml:space="preserve">a short adjournment is </w:t>
      </w:r>
      <w:r w:rsidR="00594296" w:rsidRPr="0021393F">
        <w:rPr>
          <w:rFonts w:cstheme="minorHAnsi"/>
        </w:rPr>
        <w:t xml:space="preserve">granted </w:t>
      </w:r>
      <w:r w:rsidR="00D9449B" w:rsidRPr="0021393F">
        <w:rPr>
          <w:rFonts w:cstheme="minorHAnsi"/>
        </w:rPr>
        <w:t>(e.g. to take instructions or undertake calculations</w:t>
      </w:r>
      <w:r w:rsidR="001F1F27" w:rsidRPr="0021393F">
        <w:rPr>
          <w:rFonts w:cstheme="minorHAnsi"/>
        </w:rPr>
        <w:t xml:space="preserve"> etc.</w:t>
      </w:r>
      <w:r w:rsidR="00D9449B" w:rsidRPr="0021393F">
        <w:rPr>
          <w:rFonts w:cstheme="minorHAnsi"/>
        </w:rPr>
        <w:t xml:space="preserve">), </w:t>
      </w:r>
      <w:r w:rsidRPr="0021393F">
        <w:rPr>
          <w:rFonts w:cstheme="minorHAnsi"/>
        </w:rPr>
        <w:t xml:space="preserve">then the Judge </w:t>
      </w:r>
      <w:r w:rsidR="00594296" w:rsidRPr="0021393F">
        <w:rPr>
          <w:rFonts w:cstheme="minorHAnsi"/>
        </w:rPr>
        <w:t xml:space="preserve">will leave </w:t>
      </w:r>
      <w:r w:rsidRPr="0021393F">
        <w:rPr>
          <w:rFonts w:cstheme="minorHAnsi"/>
        </w:rPr>
        <w:t xml:space="preserve">the hearing.  </w:t>
      </w:r>
      <w:r w:rsidR="00594296" w:rsidRPr="0021393F">
        <w:rPr>
          <w:rFonts w:cstheme="minorHAnsi"/>
          <w:b/>
          <w:bCs/>
        </w:rPr>
        <w:t xml:space="preserve">NB: If the hearing is being recorded via Skype/Teams, the hearing will continue to be recorded unless the Judge stops recording, irrespective of whether the Judge remains in the hearing or temporarily leaves the hearing. If the parties do not wish the recording to continue, they should ask the Judge to stop the recording. </w:t>
      </w:r>
      <w:r w:rsidR="00594296" w:rsidRPr="0021393F">
        <w:rPr>
          <w:rFonts w:cstheme="minorHAnsi"/>
        </w:rPr>
        <w:t>The Judge will direct how and when the hearing will be reconvened.</w:t>
      </w:r>
    </w:p>
    <w:p w14:paraId="4A3ECEDA" w14:textId="77777777" w:rsidR="0021393F" w:rsidRPr="0021393F" w:rsidRDefault="0021393F" w:rsidP="0021393F">
      <w:pPr>
        <w:pStyle w:val="ListParagraph"/>
        <w:rPr>
          <w:rFonts w:cstheme="minorHAnsi"/>
        </w:rPr>
      </w:pPr>
    </w:p>
    <w:p w14:paraId="71737D9B" w14:textId="504B42FF" w:rsidR="001000B2" w:rsidRPr="006766E9" w:rsidRDefault="00D75F24" w:rsidP="006766E9">
      <w:pPr>
        <w:pStyle w:val="ListParagraph"/>
        <w:numPr>
          <w:ilvl w:val="0"/>
          <w:numId w:val="17"/>
        </w:numPr>
        <w:jc w:val="both"/>
        <w:rPr>
          <w:rFonts w:eastAsia="Times New Roman" w:cstheme="minorHAnsi"/>
          <w:color w:val="161A23"/>
          <w:lang w:eastAsia="en-GB"/>
        </w:rPr>
      </w:pPr>
      <w:r w:rsidRPr="0021393F">
        <w:rPr>
          <w:rFonts w:cstheme="minorHAnsi"/>
        </w:rPr>
        <w:t xml:space="preserve">Parties are encouraged </w:t>
      </w:r>
      <w:r w:rsidR="006A7CB4">
        <w:rPr>
          <w:rFonts w:cstheme="minorHAnsi"/>
        </w:rPr>
        <w:t xml:space="preserve">to </w:t>
      </w:r>
      <w:bookmarkStart w:id="0" w:name="_GoBack"/>
      <w:bookmarkEnd w:id="0"/>
      <w:r w:rsidRPr="0021393F">
        <w:rPr>
          <w:rFonts w:cstheme="minorHAnsi"/>
        </w:rPr>
        <w:t>mute their microphones when not speaking to prevent distracting background noise</w:t>
      </w:r>
      <w:r w:rsidR="000F777E" w:rsidRPr="0021393F">
        <w:rPr>
          <w:rFonts w:cstheme="minorHAnsi"/>
        </w:rPr>
        <w:t>.</w:t>
      </w:r>
    </w:p>
    <w:sectPr w:rsidR="001000B2" w:rsidRPr="006766E9" w:rsidSect="00282C4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0022"/>
    <w:multiLevelType w:val="hybridMultilevel"/>
    <w:tmpl w:val="7FC878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A15ED1"/>
    <w:multiLevelType w:val="hybridMultilevel"/>
    <w:tmpl w:val="81D2E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E4F50"/>
    <w:multiLevelType w:val="hybridMultilevel"/>
    <w:tmpl w:val="516AAEA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63819"/>
    <w:multiLevelType w:val="hybridMultilevel"/>
    <w:tmpl w:val="1FDA31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1942"/>
    <w:multiLevelType w:val="hybridMultilevel"/>
    <w:tmpl w:val="FB2C93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4455B"/>
    <w:multiLevelType w:val="multilevel"/>
    <w:tmpl w:val="DCA8B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04998"/>
    <w:multiLevelType w:val="multilevel"/>
    <w:tmpl w:val="31563680"/>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D86312"/>
    <w:multiLevelType w:val="multilevel"/>
    <w:tmpl w:val="EE200A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83556"/>
    <w:multiLevelType w:val="multilevel"/>
    <w:tmpl w:val="D636888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5D27B7"/>
    <w:multiLevelType w:val="hybridMultilevel"/>
    <w:tmpl w:val="1FDA31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6279C7"/>
    <w:multiLevelType w:val="hybridMultilevel"/>
    <w:tmpl w:val="8F6ED39A"/>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2A4F08"/>
    <w:multiLevelType w:val="multilevel"/>
    <w:tmpl w:val="CA8A930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7A2DC9"/>
    <w:multiLevelType w:val="multilevel"/>
    <w:tmpl w:val="4A88983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E42515"/>
    <w:multiLevelType w:val="multilevel"/>
    <w:tmpl w:val="CA8A930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0C3909"/>
    <w:multiLevelType w:val="multilevel"/>
    <w:tmpl w:val="A80A08C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33C6E7B"/>
    <w:multiLevelType w:val="multilevel"/>
    <w:tmpl w:val="4B22EBB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561A05"/>
    <w:multiLevelType w:val="hybridMultilevel"/>
    <w:tmpl w:val="DA42BAE0"/>
    <w:lvl w:ilvl="0" w:tplc="0809000F">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E197F"/>
    <w:multiLevelType w:val="multilevel"/>
    <w:tmpl w:val="839C82C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F2B1169"/>
    <w:multiLevelType w:val="hybridMultilevel"/>
    <w:tmpl w:val="1A8CF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66F40"/>
    <w:multiLevelType w:val="multilevel"/>
    <w:tmpl w:val="2C38B874"/>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rPr>
        <w:b w:val="0"/>
        <w:bCs w:val="0"/>
        <w:i w:val="0"/>
        <w:iCs w:val="0"/>
      </w:r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2563EB"/>
    <w:multiLevelType w:val="hybridMultilevel"/>
    <w:tmpl w:val="C8ECBA10"/>
    <w:lvl w:ilvl="0" w:tplc="9F8A1D5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7"/>
  </w:num>
  <w:num w:numId="4">
    <w:abstractNumId w:val="5"/>
  </w:num>
  <w:num w:numId="5">
    <w:abstractNumId w:val="7"/>
  </w:num>
  <w:num w:numId="6">
    <w:abstractNumId w:val="2"/>
  </w:num>
  <w:num w:numId="7">
    <w:abstractNumId w:val="15"/>
  </w:num>
  <w:num w:numId="8">
    <w:abstractNumId w:val="8"/>
  </w:num>
  <w:num w:numId="9">
    <w:abstractNumId w:val="12"/>
  </w:num>
  <w:num w:numId="10">
    <w:abstractNumId w:val="10"/>
  </w:num>
  <w:num w:numId="11">
    <w:abstractNumId w:val="1"/>
  </w:num>
  <w:num w:numId="12">
    <w:abstractNumId w:val="4"/>
  </w:num>
  <w:num w:numId="13">
    <w:abstractNumId w:val="16"/>
  </w:num>
  <w:num w:numId="14">
    <w:abstractNumId w:val="3"/>
  </w:num>
  <w:num w:numId="15">
    <w:abstractNumId w:val="9"/>
  </w:num>
  <w:num w:numId="16">
    <w:abstractNumId w:val="0"/>
  </w:num>
  <w:num w:numId="17">
    <w:abstractNumId w:val="19"/>
  </w:num>
  <w:num w:numId="18">
    <w:abstractNumId w:val="13"/>
  </w:num>
  <w:num w:numId="19">
    <w:abstractNumId w:val="11"/>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7E"/>
    <w:rsid w:val="00027CF9"/>
    <w:rsid w:val="00035D0D"/>
    <w:rsid w:val="00036160"/>
    <w:rsid w:val="00042EBE"/>
    <w:rsid w:val="000923A5"/>
    <w:rsid w:val="000E0A26"/>
    <w:rsid w:val="000F0C70"/>
    <w:rsid w:val="000F777E"/>
    <w:rsid w:val="001000B2"/>
    <w:rsid w:val="0010457E"/>
    <w:rsid w:val="0011364F"/>
    <w:rsid w:val="00120E98"/>
    <w:rsid w:val="00121153"/>
    <w:rsid w:val="00121F3B"/>
    <w:rsid w:val="001611CF"/>
    <w:rsid w:val="00164A65"/>
    <w:rsid w:val="00180FF9"/>
    <w:rsid w:val="001A7F97"/>
    <w:rsid w:val="001D0225"/>
    <w:rsid w:val="001D1BBC"/>
    <w:rsid w:val="001E2394"/>
    <w:rsid w:val="001E462C"/>
    <w:rsid w:val="001F1F27"/>
    <w:rsid w:val="0021393F"/>
    <w:rsid w:val="00282C40"/>
    <w:rsid w:val="00286E3E"/>
    <w:rsid w:val="002A74E3"/>
    <w:rsid w:val="002D0041"/>
    <w:rsid w:val="003502AE"/>
    <w:rsid w:val="003A1174"/>
    <w:rsid w:val="003D6A15"/>
    <w:rsid w:val="003E072B"/>
    <w:rsid w:val="00414F40"/>
    <w:rsid w:val="00424F64"/>
    <w:rsid w:val="004267B5"/>
    <w:rsid w:val="00452EDA"/>
    <w:rsid w:val="004713EE"/>
    <w:rsid w:val="00471C09"/>
    <w:rsid w:val="004820D9"/>
    <w:rsid w:val="004F5D69"/>
    <w:rsid w:val="00525161"/>
    <w:rsid w:val="005349E5"/>
    <w:rsid w:val="00545859"/>
    <w:rsid w:val="00592877"/>
    <w:rsid w:val="00594296"/>
    <w:rsid w:val="005B65A0"/>
    <w:rsid w:val="005D56DE"/>
    <w:rsid w:val="005D5933"/>
    <w:rsid w:val="006018BB"/>
    <w:rsid w:val="00601CD4"/>
    <w:rsid w:val="00611E4D"/>
    <w:rsid w:val="00615403"/>
    <w:rsid w:val="00621239"/>
    <w:rsid w:val="00623D87"/>
    <w:rsid w:val="00630844"/>
    <w:rsid w:val="00637563"/>
    <w:rsid w:val="00637772"/>
    <w:rsid w:val="00660D9D"/>
    <w:rsid w:val="0066393B"/>
    <w:rsid w:val="006766E9"/>
    <w:rsid w:val="00680080"/>
    <w:rsid w:val="006A7CB4"/>
    <w:rsid w:val="006D3A6A"/>
    <w:rsid w:val="006F7DAA"/>
    <w:rsid w:val="00704381"/>
    <w:rsid w:val="007159A6"/>
    <w:rsid w:val="00763CE6"/>
    <w:rsid w:val="00785BBC"/>
    <w:rsid w:val="00797131"/>
    <w:rsid w:val="007A4E00"/>
    <w:rsid w:val="007A6067"/>
    <w:rsid w:val="007D25F4"/>
    <w:rsid w:val="007D2D80"/>
    <w:rsid w:val="007F0E3F"/>
    <w:rsid w:val="007F2C04"/>
    <w:rsid w:val="0082039C"/>
    <w:rsid w:val="00821265"/>
    <w:rsid w:val="00822FE7"/>
    <w:rsid w:val="008510F4"/>
    <w:rsid w:val="00860876"/>
    <w:rsid w:val="008A4A88"/>
    <w:rsid w:val="008C7CDC"/>
    <w:rsid w:val="00914F3A"/>
    <w:rsid w:val="0093233C"/>
    <w:rsid w:val="00944A7B"/>
    <w:rsid w:val="00971C85"/>
    <w:rsid w:val="00977069"/>
    <w:rsid w:val="009F225F"/>
    <w:rsid w:val="00A17829"/>
    <w:rsid w:val="00A2061A"/>
    <w:rsid w:val="00A43451"/>
    <w:rsid w:val="00A914C0"/>
    <w:rsid w:val="00A93B1E"/>
    <w:rsid w:val="00A97E8E"/>
    <w:rsid w:val="00AA0131"/>
    <w:rsid w:val="00AB3C36"/>
    <w:rsid w:val="00AE1767"/>
    <w:rsid w:val="00B34A7D"/>
    <w:rsid w:val="00B61F4D"/>
    <w:rsid w:val="00BF50C1"/>
    <w:rsid w:val="00C05438"/>
    <w:rsid w:val="00C0780B"/>
    <w:rsid w:val="00C45E01"/>
    <w:rsid w:val="00C70507"/>
    <w:rsid w:val="00C730A7"/>
    <w:rsid w:val="00C75614"/>
    <w:rsid w:val="00C83DFA"/>
    <w:rsid w:val="00CC4040"/>
    <w:rsid w:val="00CD2B3E"/>
    <w:rsid w:val="00CD4D15"/>
    <w:rsid w:val="00CE630D"/>
    <w:rsid w:val="00CE69CF"/>
    <w:rsid w:val="00CF2E13"/>
    <w:rsid w:val="00D13E39"/>
    <w:rsid w:val="00D31F91"/>
    <w:rsid w:val="00D75F24"/>
    <w:rsid w:val="00D9449B"/>
    <w:rsid w:val="00DA4111"/>
    <w:rsid w:val="00DD6D23"/>
    <w:rsid w:val="00DE0254"/>
    <w:rsid w:val="00E66FE5"/>
    <w:rsid w:val="00E813F1"/>
    <w:rsid w:val="00EA5905"/>
    <w:rsid w:val="00EF2B47"/>
    <w:rsid w:val="00EF7109"/>
    <w:rsid w:val="00F04046"/>
    <w:rsid w:val="00F522E9"/>
    <w:rsid w:val="00F72D16"/>
    <w:rsid w:val="00FB0661"/>
    <w:rsid w:val="00FB49C1"/>
    <w:rsid w:val="00FC51E9"/>
    <w:rsid w:val="00FF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571CC0"/>
  <w15:chartTrackingRefBased/>
  <w15:docId w15:val="{A3E7C05E-97FB-4549-9768-89ECB263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7E"/>
    <w:pPr>
      <w:ind w:left="720"/>
      <w:contextualSpacing/>
    </w:pPr>
  </w:style>
  <w:style w:type="character" w:styleId="Hyperlink">
    <w:name w:val="Hyperlink"/>
    <w:basedOn w:val="DefaultParagraphFont"/>
    <w:uiPriority w:val="99"/>
    <w:unhideWhenUsed/>
    <w:rsid w:val="00F72D16"/>
    <w:rPr>
      <w:color w:val="0563C1" w:themeColor="hyperlink"/>
      <w:u w:val="single"/>
    </w:rPr>
  </w:style>
  <w:style w:type="character" w:styleId="UnresolvedMention">
    <w:name w:val="Unresolved Mention"/>
    <w:basedOn w:val="DefaultParagraphFont"/>
    <w:uiPriority w:val="99"/>
    <w:rsid w:val="00F72D16"/>
    <w:rPr>
      <w:color w:val="605E5C"/>
      <w:shd w:val="clear" w:color="auto" w:fill="E1DFDD"/>
    </w:rPr>
  </w:style>
  <w:style w:type="paragraph" w:styleId="NormalWeb">
    <w:name w:val="Normal (Web)"/>
    <w:basedOn w:val="Normal"/>
    <w:uiPriority w:val="99"/>
    <w:semiHidden/>
    <w:unhideWhenUsed/>
    <w:rsid w:val="004820D9"/>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5D5933"/>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B49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49C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B49C1"/>
    <w:rPr>
      <w:sz w:val="16"/>
      <w:szCs w:val="16"/>
    </w:rPr>
  </w:style>
  <w:style w:type="paragraph" w:styleId="CommentText">
    <w:name w:val="annotation text"/>
    <w:basedOn w:val="Normal"/>
    <w:link w:val="CommentTextChar"/>
    <w:uiPriority w:val="99"/>
    <w:semiHidden/>
    <w:unhideWhenUsed/>
    <w:rsid w:val="00FB49C1"/>
    <w:rPr>
      <w:sz w:val="20"/>
      <w:szCs w:val="20"/>
    </w:rPr>
  </w:style>
  <w:style w:type="character" w:customStyle="1" w:styleId="CommentTextChar">
    <w:name w:val="Comment Text Char"/>
    <w:basedOn w:val="DefaultParagraphFont"/>
    <w:link w:val="CommentText"/>
    <w:uiPriority w:val="99"/>
    <w:semiHidden/>
    <w:rsid w:val="00FB49C1"/>
    <w:rPr>
      <w:sz w:val="20"/>
      <w:szCs w:val="20"/>
    </w:rPr>
  </w:style>
  <w:style w:type="paragraph" w:styleId="Revision">
    <w:name w:val="Revision"/>
    <w:hidden/>
    <w:uiPriority w:val="99"/>
    <w:semiHidden/>
    <w:rsid w:val="0093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6350">
      <w:bodyDiv w:val="1"/>
      <w:marLeft w:val="0"/>
      <w:marRight w:val="0"/>
      <w:marTop w:val="0"/>
      <w:marBottom w:val="0"/>
      <w:divBdr>
        <w:top w:val="none" w:sz="0" w:space="0" w:color="auto"/>
        <w:left w:val="none" w:sz="0" w:space="0" w:color="auto"/>
        <w:bottom w:val="none" w:sz="0" w:space="0" w:color="auto"/>
        <w:right w:val="none" w:sz="0" w:space="0" w:color="auto"/>
      </w:divBdr>
      <w:divsChild>
        <w:div w:id="1757749774">
          <w:marLeft w:val="0"/>
          <w:marRight w:val="0"/>
          <w:marTop w:val="0"/>
          <w:marBottom w:val="0"/>
          <w:divBdr>
            <w:top w:val="none" w:sz="0" w:space="0" w:color="auto"/>
            <w:left w:val="none" w:sz="0" w:space="0" w:color="auto"/>
            <w:bottom w:val="none" w:sz="0" w:space="0" w:color="auto"/>
            <w:right w:val="none" w:sz="0" w:space="0" w:color="auto"/>
          </w:divBdr>
          <w:divsChild>
            <w:div w:id="331615399">
              <w:marLeft w:val="0"/>
              <w:marRight w:val="0"/>
              <w:marTop w:val="0"/>
              <w:marBottom w:val="0"/>
              <w:divBdr>
                <w:top w:val="none" w:sz="0" w:space="0" w:color="auto"/>
                <w:left w:val="none" w:sz="0" w:space="0" w:color="auto"/>
                <w:bottom w:val="none" w:sz="0" w:space="0" w:color="auto"/>
                <w:right w:val="none" w:sz="0" w:space="0" w:color="auto"/>
              </w:divBdr>
              <w:divsChild>
                <w:div w:id="8957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1707">
      <w:bodyDiv w:val="1"/>
      <w:marLeft w:val="0"/>
      <w:marRight w:val="0"/>
      <w:marTop w:val="0"/>
      <w:marBottom w:val="0"/>
      <w:divBdr>
        <w:top w:val="none" w:sz="0" w:space="0" w:color="auto"/>
        <w:left w:val="none" w:sz="0" w:space="0" w:color="auto"/>
        <w:bottom w:val="none" w:sz="0" w:space="0" w:color="auto"/>
        <w:right w:val="none" w:sz="0" w:space="0" w:color="auto"/>
      </w:divBdr>
      <w:divsChild>
        <w:div w:id="1045718809">
          <w:marLeft w:val="0"/>
          <w:marRight w:val="0"/>
          <w:marTop w:val="0"/>
          <w:marBottom w:val="0"/>
          <w:divBdr>
            <w:top w:val="none" w:sz="0" w:space="0" w:color="auto"/>
            <w:left w:val="none" w:sz="0" w:space="0" w:color="auto"/>
            <w:bottom w:val="none" w:sz="0" w:space="0" w:color="auto"/>
            <w:right w:val="none" w:sz="0" w:space="0" w:color="auto"/>
          </w:divBdr>
          <w:divsChild>
            <w:div w:id="481889169">
              <w:marLeft w:val="0"/>
              <w:marRight w:val="0"/>
              <w:marTop w:val="0"/>
              <w:marBottom w:val="0"/>
              <w:divBdr>
                <w:top w:val="none" w:sz="0" w:space="0" w:color="auto"/>
                <w:left w:val="none" w:sz="0" w:space="0" w:color="auto"/>
                <w:bottom w:val="none" w:sz="0" w:space="0" w:color="auto"/>
                <w:right w:val="none" w:sz="0" w:space="0" w:color="auto"/>
              </w:divBdr>
              <w:divsChild>
                <w:div w:id="8043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2268">
      <w:bodyDiv w:val="1"/>
      <w:marLeft w:val="0"/>
      <w:marRight w:val="0"/>
      <w:marTop w:val="0"/>
      <w:marBottom w:val="0"/>
      <w:divBdr>
        <w:top w:val="none" w:sz="0" w:space="0" w:color="auto"/>
        <w:left w:val="none" w:sz="0" w:space="0" w:color="auto"/>
        <w:bottom w:val="none" w:sz="0" w:space="0" w:color="auto"/>
        <w:right w:val="none" w:sz="0" w:space="0" w:color="auto"/>
      </w:divBdr>
      <w:divsChild>
        <w:div w:id="1401828775">
          <w:marLeft w:val="0"/>
          <w:marRight w:val="0"/>
          <w:marTop w:val="0"/>
          <w:marBottom w:val="0"/>
          <w:divBdr>
            <w:top w:val="none" w:sz="0" w:space="0" w:color="auto"/>
            <w:left w:val="none" w:sz="0" w:space="0" w:color="auto"/>
            <w:bottom w:val="none" w:sz="0" w:space="0" w:color="auto"/>
            <w:right w:val="none" w:sz="0" w:space="0" w:color="auto"/>
          </w:divBdr>
          <w:divsChild>
            <w:div w:id="432241341">
              <w:marLeft w:val="0"/>
              <w:marRight w:val="0"/>
              <w:marTop w:val="0"/>
              <w:marBottom w:val="0"/>
              <w:divBdr>
                <w:top w:val="none" w:sz="0" w:space="0" w:color="auto"/>
                <w:left w:val="none" w:sz="0" w:space="0" w:color="auto"/>
                <w:bottom w:val="none" w:sz="0" w:space="0" w:color="auto"/>
                <w:right w:val="none" w:sz="0" w:space="0" w:color="auto"/>
              </w:divBdr>
              <w:divsChild>
                <w:div w:id="19050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0474">
      <w:bodyDiv w:val="1"/>
      <w:marLeft w:val="0"/>
      <w:marRight w:val="0"/>
      <w:marTop w:val="0"/>
      <w:marBottom w:val="0"/>
      <w:divBdr>
        <w:top w:val="none" w:sz="0" w:space="0" w:color="auto"/>
        <w:left w:val="none" w:sz="0" w:space="0" w:color="auto"/>
        <w:bottom w:val="none" w:sz="0" w:space="0" w:color="auto"/>
        <w:right w:val="none" w:sz="0" w:space="0" w:color="auto"/>
      </w:divBdr>
      <w:divsChild>
        <w:div w:id="500631122">
          <w:marLeft w:val="0"/>
          <w:marRight w:val="0"/>
          <w:marTop w:val="0"/>
          <w:marBottom w:val="0"/>
          <w:divBdr>
            <w:top w:val="none" w:sz="0" w:space="0" w:color="auto"/>
            <w:left w:val="none" w:sz="0" w:space="0" w:color="auto"/>
            <w:bottom w:val="none" w:sz="0" w:space="0" w:color="auto"/>
            <w:right w:val="none" w:sz="0" w:space="0" w:color="auto"/>
          </w:divBdr>
          <w:divsChild>
            <w:div w:id="1637099213">
              <w:marLeft w:val="0"/>
              <w:marRight w:val="0"/>
              <w:marTop w:val="0"/>
              <w:marBottom w:val="0"/>
              <w:divBdr>
                <w:top w:val="none" w:sz="0" w:space="0" w:color="auto"/>
                <w:left w:val="none" w:sz="0" w:space="0" w:color="auto"/>
                <w:bottom w:val="none" w:sz="0" w:space="0" w:color="auto"/>
                <w:right w:val="none" w:sz="0" w:space="0" w:color="auto"/>
              </w:divBdr>
              <w:divsChild>
                <w:div w:id="19971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4244">
      <w:bodyDiv w:val="1"/>
      <w:marLeft w:val="0"/>
      <w:marRight w:val="0"/>
      <w:marTop w:val="0"/>
      <w:marBottom w:val="0"/>
      <w:divBdr>
        <w:top w:val="none" w:sz="0" w:space="0" w:color="auto"/>
        <w:left w:val="none" w:sz="0" w:space="0" w:color="auto"/>
        <w:bottom w:val="none" w:sz="0" w:space="0" w:color="auto"/>
        <w:right w:val="none" w:sz="0" w:space="0" w:color="auto"/>
      </w:divBdr>
      <w:divsChild>
        <w:div w:id="50159966">
          <w:marLeft w:val="0"/>
          <w:marRight w:val="0"/>
          <w:marTop w:val="0"/>
          <w:marBottom w:val="0"/>
          <w:divBdr>
            <w:top w:val="none" w:sz="0" w:space="0" w:color="auto"/>
            <w:left w:val="none" w:sz="0" w:space="0" w:color="auto"/>
            <w:bottom w:val="none" w:sz="0" w:space="0" w:color="auto"/>
            <w:right w:val="none" w:sz="0" w:space="0" w:color="auto"/>
          </w:divBdr>
          <w:divsChild>
            <w:div w:id="488255892">
              <w:marLeft w:val="0"/>
              <w:marRight w:val="0"/>
              <w:marTop w:val="0"/>
              <w:marBottom w:val="0"/>
              <w:divBdr>
                <w:top w:val="none" w:sz="0" w:space="0" w:color="auto"/>
                <w:left w:val="none" w:sz="0" w:space="0" w:color="auto"/>
                <w:bottom w:val="none" w:sz="0" w:space="0" w:color="auto"/>
                <w:right w:val="none" w:sz="0" w:space="0" w:color="auto"/>
              </w:divBdr>
              <w:divsChild>
                <w:div w:id="5857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diciary.uk/wp-content/uploads/2020/03/Civil-court-guidance-on-how-to-conduct-remote-hearing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hmcts-daily-operational-summary-on-courts-and-tribunals-during-coronavirus-covid-19-outbreak" TargetMode="External"/><Relationship Id="rId5" Type="http://schemas.openxmlformats.org/officeDocument/2006/relationships/hyperlink" Target="https://www.judiciary.uk/wp-content/uploads/2020/03/Remote-hearings.Protocol.Civil_.GenerallyApplicableVersion.f-amend-26_03_20-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Hughes</dc:creator>
  <cp:keywords/>
  <dc:description/>
  <cp:lastModifiedBy>Kevin Latham</cp:lastModifiedBy>
  <cp:revision>41</cp:revision>
  <dcterms:created xsi:type="dcterms:W3CDTF">2020-04-10T10:29:00Z</dcterms:created>
  <dcterms:modified xsi:type="dcterms:W3CDTF">2020-04-17T09:04:00Z</dcterms:modified>
</cp:coreProperties>
</file>