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BC986" w14:textId="5C4EE91D" w:rsidR="00A85FFD" w:rsidRPr="00A85FFD" w:rsidRDefault="00A85FFD" w:rsidP="00A85FFD">
      <w:pPr>
        <w:spacing w:after="220" w:line="240" w:lineRule="auto"/>
        <w:jc w:val="center"/>
        <w:rPr>
          <w:rFonts w:ascii="Arial" w:eastAsia="Times New Roman" w:hAnsi="Arial" w:cs="Times New Roman"/>
          <w:b/>
          <w:sz w:val="20"/>
          <w:szCs w:val="20"/>
          <w:u w:val="single"/>
        </w:rPr>
      </w:pPr>
      <w:bookmarkStart w:id="0" w:name="Start"/>
      <w:bookmarkEnd w:id="0"/>
      <w:r w:rsidRPr="00A85FFD">
        <w:rPr>
          <w:rFonts w:ascii="Arial" w:eastAsia="Times New Roman" w:hAnsi="Arial" w:cs="Times New Roman"/>
          <w:b/>
          <w:sz w:val="20"/>
          <w:szCs w:val="20"/>
          <w:u w:val="single"/>
        </w:rPr>
        <w:t xml:space="preserve">Note of the London Circuit Commercial Court Users’ Committee Meeting on </w:t>
      </w:r>
      <w:r>
        <w:rPr>
          <w:rFonts w:ascii="Arial" w:eastAsia="Times New Roman" w:hAnsi="Arial" w:cs="Times New Roman"/>
          <w:b/>
          <w:sz w:val="20"/>
          <w:szCs w:val="20"/>
          <w:u w:val="single"/>
        </w:rPr>
        <w:t>29 November</w:t>
      </w:r>
      <w:r w:rsidRPr="00A85FFD">
        <w:rPr>
          <w:rFonts w:ascii="Arial" w:eastAsia="Times New Roman" w:hAnsi="Arial" w:cs="Times New Roman"/>
          <w:b/>
          <w:sz w:val="20"/>
          <w:szCs w:val="20"/>
          <w:u w:val="single"/>
        </w:rPr>
        <w:t xml:space="preserve"> 2021 at 5pm</w:t>
      </w:r>
    </w:p>
    <w:p w14:paraId="528F1B74" w14:textId="77777777" w:rsidR="00A85FFD" w:rsidRPr="00A85FFD" w:rsidRDefault="00A85FFD" w:rsidP="00A85FFD">
      <w:pPr>
        <w:spacing w:after="220" w:line="240" w:lineRule="auto"/>
        <w:jc w:val="both"/>
        <w:rPr>
          <w:rFonts w:ascii="Arial" w:eastAsia="Times New Roman" w:hAnsi="Arial" w:cs="Times New Roman"/>
          <w:sz w:val="20"/>
          <w:szCs w:val="20"/>
        </w:rPr>
      </w:pPr>
      <w:r w:rsidRPr="00A85FFD">
        <w:rPr>
          <w:rFonts w:ascii="Arial" w:eastAsia="Times New Roman" w:hAnsi="Arial" w:cs="Times New Roman"/>
          <w:b/>
          <w:sz w:val="20"/>
          <w:szCs w:val="20"/>
        </w:rPr>
        <w:t>Attendees:</w:t>
      </w:r>
    </w:p>
    <w:p w14:paraId="571D220E" w14:textId="77777777" w:rsidR="00A85FFD" w:rsidRPr="00A85FFD" w:rsidRDefault="00A85FFD" w:rsidP="00A85FFD">
      <w:pPr>
        <w:spacing w:after="0" w:line="240" w:lineRule="auto"/>
        <w:jc w:val="both"/>
        <w:rPr>
          <w:rFonts w:ascii="Arial" w:eastAsia="Times New Roman" w:hAnsi="Arial" w:cs="Times New Roman"/>
          <w:sz w:val="20"/>
          <w:szCs w:val="20"/>
        </w:rPr>
      </w:pPr>
      <w:r w:rsidRPr="00A85FFD">
        <w:rPr>
          <w:rFonts w:ascii="Arial" w:eastAsia="Times New Roman" w:hAnsi="Arial" w:cs="Times New Roman"/>
          <w:sz w:val="20"/>
          <w:szCs w:val="20"/>
        </w:rPr>
        <w:t>HHJ Pelling QC (“</w:t>
      </w:r>
      <w:r w:rsidRPr="00A85FFD">
        <w:rPr>
          <w:rFonts w:ascii="Arial" w:eastAsia="Times New Roman" w:hAnsi="Arial" w:cs="Times New Roman"/>
          <w:b/>
          <w:sz w:val="20"/>
          <w:szCs w:val="20"/>
        </w:rPr>
        <w:t>HPQ</w:t>
      </w:r>
      <w:r w:rsidRPr="00A85FFD">
        <w:rPr>
          <w:rFonts w:ascii="Arial" w:eastAsia="Times New Roman" w:hAnsi="Arial" w:cs="Times New Roman"/>
          <w:sz w:val="20"/>
          <w:szCs w:val="20"/>
        </w:rPr>
        <w:t>”)</w:t>
      </w:r>
    </w:p>
    <w:p w14:paraId="71B9E145" w14:textId="77777777" w:rsidR="00A85FFD" w:rsidRPr="00802566" w:rsidRDefault="00A85FFD" w:rsidP="00A85FFD">
      <w:pPr>
        <w:spacing w:after="0" w:line="240" w:lineRule="auto"/>
        <w:jc w:val="both"/>
        <w:rPr>
          <w:rFonts w:ascii="Arial" w:eastAsia="Times New Roman" w:hAnsi="Arial" w:cs="Times New Roman"/>
          <w:sz w:val="20"/>
          <w:szCs w:val="20"/>
          <w:lang w:val="nl-NL"/>
        </w:rPr>
      </w:pPr>
      <w:r w:rsidRPr="00802566">
        <w:rPr>
          <w:rFonts w:ascii="Arial" w:eastAsia="Times New Roman" w:hAnsi="Arial" w:cs="Times New Roman"/>
          <w:sz w:val="20"/>
          <w:szCs w:val="20"/>
          <w:lang w:val="nl-NL"/>
        </w:rPr>
        <w:t>Kevin Ellmore, Mischon de Reya (“</w:t>
      </w:r>
      <w:r w:rsidRPr="00802566">
        <w:rPr>
          <w:rFonts w:ascii="Arial" w:eastAsia="Times New Roman" w:hAnsi="Arial" w:cs="Times New Roman"/>
          <w:b/>
          <w:sz w:val="20"/>
          <w:szCs w:val="20"/>
          <w:lang w:val="nl-NL"/>
        </w:rPr>
        <w:t>KE</w:t>
      </w:r>
      <w:r w:rsidRPr="00802566">
        <w:rPr>
          <w:rFonts w:ascii="Arial" w:eastAsia="Times New Roman" w:hAnsi="Arial" w:cs="Times New Roman"/>
          <w:sz w:val="20"/>
          <w:szCs w:val="20"/>
          <w:lang w:val="nl-NL"/>
        </w:rPr>
        <w:t>”)</w:t>
      </w:r>
    </w:p>
    <w:p w14:paraId="13F35156" w14:textId="77777777" w:rsidR="00A85FFD" w:rsidRPr="00802566" w:rsidRDefault="00A85FFD" w:rsidP="00A85FFD">
      <w:pPr>
        <w:spacing w:after="0" w:line="240" w:lineRule="auto"/>
        <w:jc w:val="both"/>
        <w:rPr>
          <w:rFonts w:ascii="Arial" w:eastAsia="Times New Roman" w:hAnsi="Arial" w:cs="Times New Roman"/>
          <w:sz w:val="20"/>
          <w:szCs w:val="20"/>
          <w:lang w:val="nl-NL"/>
        </w:rPr>
      </w:pPr>
      <w:r w:rsidRPr="00802566">
        <w:rPr>
          <w:rFonts w:ascii="Arial" w:eastAsia="Times New Roman" w:hAnsi="Arial" w:cs="Times New Roman"/>
          <w:sz w:val="20"/>
          <w:szCs w:val="20"/>
          <w:lang w:val="nl-NL"/>
        </w:rPr>
        <w:t>Michael Tame, Commercial Court Listing (“</w:t>
      </w:r>
      <w:r w:rsidRPr="00802566">
        <w:rPr>
          <w:rFonts w:ascii="Arial" w:eastAsia="Times New Roman" w:hAnsi="Arial" w:cs="Times New Roman"/>
          <w:b/>
          <w:sz w:val="20"/>
          <w:szCs w:val="20"/>
          <w:lang w:val="nl-NL"/>
        </w:rPr>
        <w:t>MT</w:t>
      </w:r>
      <w:r w:rsidRPr="00802566">
        <w:rPr>
          <w:rFonts w:ascii="Arial" w:eastAsia="Times New Roman" w:hAnsi="Arial" w:cs="Times New Roman"/>
          <w:sz w:val="20"/>
          <w:szCs w:val="20"/>
          <w:lang w:val="nl-NL"/>
        </w:rPr>
        <w:t>”)</w:t>
      </w:r>
    </w:p>
    <w:p w14:paraId="78840D9B" w14:textId="77777777" w:rsidR="00A85FFD" w:rsidRPr="00802566" w:rsidRDefault="00A85FFD" w:rsidP="00A85FFD">
      <w:pPr>
        <w:spacing w:after="0" w:line="240" w:lineRule="auto"/>
        <w:jc w:val="both"/>
        <w:rPr>
          <w:rFonts w:ascii="Arial" w:eastAsia="Times New Roman" w:hAnsi="Arial" w:cs="Times New Roman"/>
          <w:sz w:val="20"/>
          <w:szCs w:val="20"/>
          <w:lang w:val="nl-NL"/>
        </w:rPr>
      </w:pPr>
      <w:r w:rsidRPr="00802566">
        <w:rPr>
          <w:rFonts w:ascii="Arial" w:eastAsia="Times New Roman" w:hAnsi="Arial" w:cs="Times New Roman"/>
          <w:sz w:val="20"/>
          <w:szCs w:val="20"/>
          <w:lang w:val="nl-NL"/>
        </w:rPr>
        <w:t>Laura Beagrie, Stevens &amp; Bolton (“</w:t>
      </w:r>
      <w:r w:rsidRPr="00802566">
        <w:rPr>
          <w:rFonts w:ascii="Arial" w:eastAsia="Times New Roman" w:hAnsi="Arial" w:cs="Times New Roman"/>
          <w:b/>
          <w:sz w:val="20"/>
          <w:szCs w:val="20"/>
          <w:lang w:val="nl-NL"/>
        </w:rPr>
        <w:t>LB</w:t>
      </w:r>
      <w:r w:rsidRPr="00802566">
        <w:rPr>
          <w:rFonts w:ascii="Arial" w:eastAsia="Times New Roman" w:hAnsi="Arial" w:cs="Times New Roman"/>
          <w:sz w:val="20"/>
          <w:szCs w:val="20"/>
          <w:lang w:val="nl-NL"/>
        </w:rPr>
        <w:t>”)</w:t>
      </w:r>
    </w:p>
    <w:p w14:paraId="37B028C7" w14:textId="77777777" w:rsidR="00A85FFD" w:rsidRPr="00802566" w:rsidRDefault="00A85FFD" w:rsidP="00A85FFD">
      <w:pPr>
        <w:spacing w:after="0" w:line="240" w:lineRule="auto"/>
        <w:jc w:val="both"/>
        <w:rPr>
          <w:rFonts w:ascii="Arial" w:eastAsia="Times New Roman" w:hAnsi="Arial" w:cs="Times New Roman"/>
          <w:sz w:val="20"/>
          <w:szCs w:val="20"/>
          <w:lang w:val="nl-NL"/>
        </w:rPr>
      </w:pPr>
      <w:r w:rsidRPr="00802566">
        <w:rPr>
          <w:rFonts w:ascii="Arial" w:eastAsia="Times New Roman" w:hAnsi="Arial" w:cs="Times New Roman"/>
          <w:sz w:val="20"/>
          <w:szCs w:val="20"/>
          <w:lang w:val="nl-NL"/>
        </w:rPr>
        <w:t>Richard Hanke, 3VB (“</w:t>
      </w:r>
      <w:r w:rsidRPr="00802566">
        <w:rPr>
          <w:rFonts w:ascii="Arial" w:eastAsia="Times New Roman" w:hAnsi="Arial" w:cs="Times New Roman"/>
          <w:b/>
          <w:sz w:val="20"/>
          <w:szCs w:val="20"/>
          <w:lang w:val="nl-NL"/>
        </w:rPr>
        <w:t>RH</w:t>
      </w:r>
      <w:r w:rsidRPr="00802566">
        <w:rPr>
          <w:rFonts w:ascii="Arial" w:eastAsia="Times New Roman" w:hAnsi="Arial" w:cs="Times New Roman"/>
          <w:sz w:val="20"/>
          <w:szCs w:val="20"/>
          <w:lang w:val="nl-NL"/>
        </w:rPr>
        <w:t xml:space="preserve">”) </w:t>
      </w:r>
    </w:p>
    <w:p w14:paraId="7C192046" w14:textId="754ACA55" w:rsidR="00A85FFD" w:rsidRDefault="00A85FFD" w:rsidP="00A85FFD">
      <w:pPr>
        <w:spacing w:after="0" w:line="240" w:lineRule="auto"/>
        <w:jc w:val="both"/>
        <w:rPr>
          <w:rFonts w:ascii="Arial" w:eastAsia="Times New Roman" w:hAnsi="Arial" w:cs="Times New Roman"/>
          <w:sz w:val="20"/>
          <w:szCs w:val="20"/>
        </w:rPr>
      </w:pPr>
      <w:r w:rsidRPr="00A85FFD">
        <w:rPr>
          <w:rFonts w:ascii="Arial" w:eastAsia="Times New Roman" w:hAnsi="Arial" w:cs="Times New Roman"/>
          <w:sz w:val="20"/>
          <w:szCs w:val="20"/>
        </w:rPr>
        <w:t>Andrew Stevens, 4 Pump Court (“</w:t>
      </w:r>
      <w:r w:rsidRPr="00A85FFD">
        <w:rPr>
          <w:rFonts w:ascii="Arial" w:eastAsia="Times New Roman" w:hAnsi="Arial" w:cs="Times New Roman"/>
          <w:b/>
          <w:sz w:val="20"/>
          <w:szCs w:val="20"/>
        </w:rPr>
        <w:t>AS</w:t>
      </w:r>
      <w:r w:rsidRPr="00A85FFD">
        <w:rPr>
          <w:rFonts w:ascii="Arial" w:eastAsia="Times New Roman" w:hAnsi="Arial" w:cs="Times New Roman"/>
          <w:sz w:val="20"/>
          <w:szCs w:val="20"/>
        </w:rPr>
        <w:t>”)</w:t>
      </w:r>
    </w:p>
    <w:p w14:paraId="66254558" w14:textId="77777777" w:rsidR="00A85FFD" w:rsidRPr="00A85FFD" w:rsidRDefault="00A85FFD" w:rsidP="00A85FFD">
      <w:pPr>
        <w:spacing w:after="0" w:line="240" w:lineRule="auto"/>
        <w:jc w:val="both"/>
        <w:rPr>
          <w:rFonts w:ascii="Arial" w:eastAsia="Times New Roman" w:hAnsi="Arial" w:cs="Times New Roman"/>
          <w:sz w:val="20"/>
          <w:szCs w:val="20"/>
        </w:rPr>
      </w:pPr>
      <w:r w:rsidRPr="00A85FFD">
        <w:rPr>
          <w:rFonts w:ascii="Arial" w:eastAsia="Times New Roman" w:hAnsi="Arial" w:cs="Times New Roman"/>
          <w:sz w:val="20"/>
          <w:szCs w:val="20"/>
        </w:rPr>
        <w:t xml:space="preserve">Simon Winter Charles </w:t>
      </w:r>
      <w:proofErr w:type="spellStart"/>
      <w:r w:rsidRPr="00A85FFD">
        <w:rPr>
          <w:rFonts w:ascii="Arial" w:eastAsia="Times New Roman" w:hAnsi="Arial" w:cs="Times New Roman"/>
          <w:sz w:val="20"/>
          <w:szCs w:val="20"/>
        </w:rPr>
        <w:t>Fussell</w:t>
      </w:r>
      <w:proofErr w:type="spellEnd"/>
      <w:r w:rsidRPr="00A85FFD">
        <w:rPr>
          <w:rFonts w:ascii="Arial" w:eastAsia="Times New Roman" w:hAnsi="Arial" w:cs="Times New Roman"/>
          <w:sz w:val="20"/>
          <w:szCs w:val="20"/>
        </w:rPr>
        <w:t xml:space="preserve"> &amp; Co</w:t>
      </w:r>
      <w:r w:rsidRPr="00A85FFD">
        <w:rPr>
          <w:rFonts w:ascii="Arial" w:eastAsia="Times New Roman" w:hAnsi="Arial" w:cs="Times New Roman"/>
          <w:b/>
          <w:sz w:val="20"/>
          <w:szCs w:val="20"/>
        </w:rPr>
        <w:t xml:space="preserve"> </w:t>
      </w:r>
      <w:r w:rsidRPr="00A85FFD">
        <w:rPr>
          <w:rFonts w:ascii="Arial" w:eastAsia="Times New Roman" w:hAnsi="Arial" w:cs="Times New Roman"/>
          <w:sz w:val="20"/>
          <w:szCs w:val="20"/>
        </w:rPr>
        <w:t>(“</w:t>
      </w:r>
      <w:r w:rsidRPr="00A85FFD">
        <w:rPr>
          <w:rFonts w:ascii="Arial" w:eastAsia="Times New Roman" w:hAnsi="Arial" w:cs="Times New Roman"/>
          <w:b/>
          <w:sz w:val="20"/>
          <w:szCs w:val="20"/>
        </w:rPr>
        <w:t>SWI</w:t>
      </w:r>
      <w:r w:rsidRPr="00A85FFD">
        <w:rPr>
          <w:rFonts w:ascii="Arial" w:eastAsia="Times New Roman" w:hAnsi="Arial" w:cs="Times New Roman"/>
          <w:sz w:val="20"/>
          <w:szCs w:val="20"/>
        </w:rPr>
        <w:t>”)</w:t>
      </w:r>
    </w:p>
    <w:p w14:paraId="53B9F38A" w14:textId="3D744BEF" w:rsidR="00A85FFD" w:rsidRDefault="00A85FFD" w:rsidP="00A85FFD">
      <w:pPr>
        <w:spacing w:after="0" w:line="240" w:lineRule="auto"/>
        <w:jc w:val="both"/>
        <w:rPr>
          <w:rFonts w:ascii="Arial" w:eastAsia="Times New Roman" w:hAnsi="Arial" w:cs="Times New Roman"/>
          <w:sz w:val="20"/>
          <w:szCs w:val="20"/>
        </w:rPr>
      </w:pPr>
      <w:r w:rsidRPr="00A85FFD">
        <w:rPr>
          <w:rFonts w:ascii="Arial" w:eastAsia="Times New Roman" w:hAnsi="Arial" w:cs="Times New Roman"/>
          <w:sz w:val="20"/>
          <w:szCs w:val="20"/>
        </w:rPr>
        <w:t>Niamh Cleary, Fountain Court (“</w:t>
      </w:r>
      <w:r w:rsidRPr="00A85FFD">
        <w:rPr>
          <w:rFonts w:ascii="Arial" w:eastAsia="Times New Roman" w:hAnsi="Arial" w:cs="Times New Roman"/>
          <w:b/>
          <w:bCs/>
          <w:sz w:val="20"/>
          <w:szCs w:val="20"/>
        </w:rPr>
        <w:t>NC</w:t>
      </w:r>
      <w:r w:rsidRPr="00A85FFD">
        <w:rPr>
          <w:rFonts w:ascii="Arial" w:eastAsia="Times New Roman" w:hAnsi="Arial" w:cs="Times New Roman"/>
          <w:sz w:val="20"/>
          <w:szCs w:val="20"/>
        </w:rPr>
        <w:t>”)</w:t>
      </w:r>
    </w:p>
    <w:p w14:paraId="5043E432" w14:textId="5D591C64" w:rsidR="0014015D" w:rsidRPr="00802566" w:rsidRDefault="0014015D" w:rsidP="0014015D">
      <w:pPr>
        <w:spacing w:after="0" w:line="240" w:lineRule="auto"/>
        <w:jc w:val="both"/>
        <w:rPr>
          <w:rFonts w:ascii="Arial" w:eastAsia="Times New Roman" w:hAnsi="Arial" w:cs="Times New Roman"/>
          <w:sz w:val="20"/>
          <w:szCs w:val="20"/>
          <w:lang w:val="fr-FR"/>
        </w:rPr>
      </w:pPr>
      <w:r w:rsidRPr="00802566">
        <w:rPr>
          <w:rFonts w:ascii="Arial" w:eastAsia="Times New Roman" w:hAnsi="Arial" w:cs="Times New Roman"/>
          <w:sz w:val="20"/>
          <w:szCs w:val="20"/>
          <w:lang w:val="fr-FR"/>
        </w:rPr>
        <w:t>Virginia Jones, Lexis Nexis (“</w:t>
      </w:r>
      <w:r w:rsidRPr="00802566">
        <w:rPr>
          <w:rFonts w:ascii="Arial" w:eastAsia="Times New Roman" w:hAnsi="Arial" w:cs="Times New Roman"/>
          <w:b/>
          <w:bCs/>
          <w:sz w:val="20"/>
          <w:szCs w:val="20"/>
          <w:lang w:val="fr-FR"/>
        </w:rPr>
        <w:t>VJ</w:t>
      </w:r>
      <w:r w:rsidRPr="00802566">
        <w:rPr>
          <w:rFonts w:ascii="Arial" w:eastAsia="Times New Roman" w:hAnsi="Arial" w:cs="Times New Roman"/>
          <w:sz w:val="20"/>
          <w:szCs w:val="20"/>
          <w:lang w:val="fr-FR"/>
        </w:rPr>
        <w:t>”)</w:t>
      </w:r>
    </w:p>
    <w:p w14:paraId="3191EB76" w14:textId="77777777" w:rsidR="0014015D" w:rsidRPr="00802566" w:rsidRDefault="0014015D" w:rsidP="00A85FFD">
      <w:pPr>
        <w:spacing w:after="0" w:line="240" w:lineRule="auto"/>
        <w:jc w:val="both"/>
        <w:rPr>
          <w:rFonts w:ascii="Arial" w:eastAsia="Times New Roman" w:hAnsi="Arial" w:cs="Times New Roman"/>
          <w:sz w:val="20"/>
          <w:szCs w:val="20"/>
          <w:lang w:val="fr-FR"/>
        </w:rPr>
      </w:pPr>
    </w:p>
    <w:p w14:paraId="51410CA6" w14:textId="77777777" w:rsidR="00A85FFD" w:rsidRPr="00802566" w:rsidRDefault="00A85FFD" w:rsidP="00A85FFD">
      <w:pPr>
        <w:spacing w:after="0" w:line="240" w:lineRule="auto"/>
        <w:jc w:val="both"/>
        <w:rPr>
          <w:rFonts w:ascii="Arial" w:eastAsia="Times New Roman" w:hAnsi="Arial" w:cs="Times New Roman"/>
          <w:sz w:val="20"/>
          <w:szCs w:val="20"/>
          <w:lang w:val="fr-FR"/>
        </w:rPr>
      </w:pPr>
    </w:p>
    <w:p w14:paraId="6AF8104B" w14:textId="77777777" w:rsidR="00A85FFD" w:rsidRPr="00802566" w:rsidRDefault="00A85FFD" w:rsidP="00A85FFD">
      <w:pPr>
        <w:spacing w:after="0" w:line="240" w:lineRule="auto"/>
        <w:jc w:val="both"/>
        <w:rPr>
          <w:rFonts w:ascii="Arial" w:eastAsia="Times New Roman" w:hAnsi="Arial" w:cs="Times New Roman"/>
          <w:b/>
          <w:sz w:val="20"/>
          <w:szCs w:val="20"/>
          <w:lang w:val="fr-FR"/>
        </w:rPr>
      </w:pPr>
    </w:p>
    <w:p w14:paraId="4995F89E" w14:textId="77777777" w:rsidR="00A85FFD" w:rsidRPr="00802566" w:rsidRDefault="00A85FFD" w:rsidP="00A85FFD">
      <w:pPr>
        <w:spacing w:after="0" w:line="240" w:lineRule="auto"/>
        <w:jc w:val="both"/>
        <w:rPr>
          <w:rFonts w:ascii="Arial" w:eastAsia="Times New Roman" w:hAnsi="Arial" w:cs="Times New Roman"/>
          <w:b/>
          <w:sz w:val="20"/>
          <w:szCs w:val="20"/>
          <w:lang w:val="fr-FR"/>
        </w:rPr>
      </w:pPr>
      <w:proofErr w:type="gramStart"/>
      <w:r w:rsidRPr="00802566">
        <w:rPr>
          <w:rFonts w:ascii="Arial" w:eastAsia="Times New Roman" w:hAnsi="Arial" w:cs="Times New Roman"/>
          <w:b/>
          <w:sz w:val="20"/>
          <w:szCs w:val="20"/>
          <w:lang w:val="fr-FR"/>
        </w:rPr>
        <w:t>Apologies:</w:t>
      </w:r>
      <w:proofErr w:type="gramEnd"/>
      <w:r w:rsidRPr="00802566">
        <w:rPr>
          <w:rFonts w:ascii="Arial" w:eastAsia="Times New Roman" w:hAnsi="Arial" w:cs="Times New Roman"/>
          <w:b/>
          <w:sz w:val="20"/>
          <w:szCs w:val="20"/>
          <w:lang w:val="fr-FR"/>
        </w:rPr>
        <w:t xml:space="preserve"> </w:t>
      </w:r>
    </w:p>
    <w:p w14:paraId="745882E8" w14:textId="1682E6A1" w:rsidR="00A85FFD" w:rsidRDefault="00A85FFD" w:rsidP="00A85FFD">
      <w:pPr>
        <w:spacing w:after="0" w:line="240" w:lineRule="auto"/>
        <w:jc w:val="both"/>
        <w:rPr>
          <w:rFonts w:ascii="Arial" w:eastAsia="Times New Roman" w:hAnsi="Arial" w:cs="Times New Roman"/>
          <w:sz w:val="20"/>
          <w:szCs w:val="20"/>
        </w:rPr>
      </w:pPr>
      <w:r w:rsidRPr="00A85FFD">
        <w:rPr>
          <w:rFonts w:ascii="Arial" w:eastAsia="Times New Roman" w:hAnsi="Arial" w:cs="Times New Roman"/>
          <w:sz w:val="20"/>
          <w:szCs w:val="20"/>
        </w:rPr>
        <w:t>Robyn Harrison, Macfarlanes (“</w:t>
      </w:r>
      <w:r w:rsidRPr="00A85FFD">
        <w:rPr>
          <w:rFonts w:ascii="Arial" w:eastAsia="Times New Roman" w:hAnsi="Arial" w:cs="Times New Roman"/>
          <w:b/>
          <w:sz w:val="20"/>
          <w:szCs w:val="20"/>
        </w:rPr>
        <w:t>RJH</w:t>
      </w:r>
      <w:r w:rsidRPr="00A85FFD">
        <w:rPr>
          <w:rFonts w:ascii="Arial" w:eastAsia="Times New Roman" w:hAnsi="Arial" w:cs="Times New Roman"/>
          <w:sz w:val="20"/>
          <w:szCs w:val="20"/>
        </w:rPr>
        <w:t>”)</w:t>
      </w:r>
    </w:p>
    <w:p w14:paraId="36D667F6" w14:textId="27AC7B48" w:rsidR="00086EA2" w:rsidRPr="00086EA2" w:rsidRDefault="00086EA2" w:rsidP="00A85FFD">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Sophie Weber (“</w:t>
      </w:r>
      <w:r>
        <w:rPr>
          <w:rFonts w:ascii="Arial" w:eastAsia="Times New Roman" w:hAnsi="Arial" w:cs="Times New Roman"/>
          <w:b/>
          <w:bCs/>
          <w:sz w:val="20"/>
          <w:szCs w:val="20"/>
        </w:rPr>
        <w:t>SW</w:t>
      </w:r>
      <w:r>
        <w:rPr>
          <w:rFonts w:ascii="Arial" w:eastAsia="Times New Roman" w:hAnsi="Arial" w:cs="Times New Roman"/>
          <w:sz w:val="20"/>
          <w:szCs w:val="20"/>
        </w:rPr>
        <w:t>”)</w:t>
      </w:r>
    </w:p>
    <w:p w14:paraId="13C0FE49" w14:textId="77777777" w:rsidR="00A85FFD" w:rsidRPr="00A85FFD" w:rsidRDefault="00A85FFD" w:rsidP="00A85FFD">
      <w:pPr>
        <w:spacing w:after="0" w:line="240" w:lineRule="auto"/>
        <w:jc w:val="both"/>
        <w:rPr>
          <w:rFonts w:ascii="Arial" w:eastAsia="Times New Roman" w:hAnsi="Arial" w:cs="Times New Roman"/>
          <w:i/>
          <w:sz w:val="20"/>
          <w:szCs w:val="20"/>
        </w:rPr>
      </w:pPr>
    </w:p>
    <w:p w14:paraId="6DE7EBB7" w14:textId="4B42F72A" w:rsidR="00A85FFD" w:rsidRPr="00A85FFD" w:rsidRDefault="00A85FFD" w:rsidP="00A85FFD">
      <w:pPr>
        <w:spacing w:after="0" w:line="240" w:lineRule="auto"/>
        <w:jc w:val="center"/>
        <w:rPr>
          <w:rFonts w:ascii="Arial" w:eastAsia="Times New Roman" w:hAnsi="Arial" w:cs="Times New Roman"/>
          <w:i/>
          <w:sz w:val="20"/>
          <w:szCs w:val="20"/>
        </w:rPr>
      </w:pPr>
      <w:r w:rsidRPr="00A85FFD">
        <w:rPr>
          <w:rFonts w:ascii="Arial" w:eastAsia="Times New Roman" w:hAnsi="Arial" w:cs="Times New Roman"/>
          <w:i/>
          <w:sz w:val="20"/>
          <w:szCs w:val="20"/>
        </w:rPr>
        <w:t xml:space="preserve">Meeting conducted </w:t>
      </w:r>
      <w:r>
        <w:rPr>
          <w:rFonts w:ascii="Arial" w:eastAsia="Times New Roman" w:hAnsi="Arial" w:cs="Times New Roman"/>
          <w:i/>
          <w:sz w:val="20"/>
          <w:szCs w:val="20"/>
        </w:rPr>
        <w:t xml:space="preserve">in-person with some attendees joining </w:t>
      </w:r>
      <w:r w:rsidRPr="00A85FFD">
        <w:rPr>
          <w:rFonts w:ascii="Arial" w:eastAsia="Times New Roman" w:hAnsi="Arial" w:cs="Times New Roman"/>
          <w:i/>
          <w:sz w:val="20"/>
          <w:szCs w:val="20"/>
        </w:rPr>
        <w:t>remotely via Microsoft Teams</w:t>
      </w:r>
    </w:p>
    <w:p w14:paraId="4DAB8E18" w14:textId="49771465" w:rsidR="00383AC3" w:rsidRDefault="00383AC3"/>
    <w:p w14:paraId="5CF378A9" w14:textId="77777777" w:rsidR="00045D6E" w:rsidRPr="00045D6E" w:rsidRDefault="00045D6E" w:rsidP="00045D6E">
      <w:pPr>
        <w:numPr>
          <w:ilvl w:val="1"/>
          <w:numId w:val="2"/>
        </w:numPr>
        <w:spacing w:after="220" w:line="240" w:lineRule="auto"/>
        <w:ind w:left="864"/>
        <w:jc w:val="both"/>
        <w:outlineLvl w:val="0"/>
        <w:rPr>
          <w:rFonts w:ascii="Arial" w:eastAsia="Times New Roman" w:hAnsi="Arial" w:cs="Times New Roman"/>
          <w:b/>
          <w:sz w:val="20"/>
          <w:szCs w:val="20"/>
        </w:rPr>
      </w:pPr>
      <w:r w:rsidRPr="00045D6E">
        <w:rPr>
          <w:rFonts w:ascii="Arial" w:eastAsia="Times New Roman" w:hAnsi="Arial" w:cs="Times New Roman"/>
          <w:b/>
          <w:sz w:val="20"/>
          <w:szCs w:val="20"/>
        </w:rPr>
        <w:t>Apologies/previous minutes</w:t>
      </w:r>
    </w:p>
    <w:p w14:paraId="2D5317C1" w14:textId="77777777" w:rsidR="00802566" w:rsidRDefault="00045D6E" w:rsidP="00802566">
      <w:pPr>
        <w:numPr>
          <w:ilvl w:val="2"/>
          <w:numId w:val="2"/>
        </w:numPr>
        <w:spacing w:after="220" w:line="240" w:lineRule="auto"/>
        <w:jc w:val="both"/>
        <w:outlineLvl w:val="1"/>
        <w:rPr>
          <w:rFonts w:ascii="Arial" w:eastAsia="Times New Roman" w:hAnsi="Arial" w:cs="Times New Roman"/>
          <w:sz w:val="20"/>
          <w:szCs w:val="20"/>
        </w:rPr>
      </w:pPr>
      <w:r w:rsidRPr="00045D6E">
        <w:rPr>
          <w:rFonts w:ascii="Arial" w:eastAsia="Times New Roman" w:hAnsi="Arial" w:cs="Times New Roman"/>
          <w:sz w:val="20"/>
          <w:szCs w:val="20"/>
        </w:rPr>
        <w:t>HPQ noted the apologies and approved the previous minutes.</w:t>
      </w:r>
    </w:p>
    <w:p w14:paraId="3BF1A810" w14:textId="6AC89D9A" w:rsidR="00045D6E" w:rsidRPr="00802566" w:rsidRDefault="00045D6E" w:rsidP="00802566">
      <w:pPr>
        <w:numPr>
          <w:ilvl w:val="1"/>
          <w:numId w:val="2"/>
        </w:numPr>
        <w:spacing w:after="220" w:line="240" w:lineRule="auto"/>
        <w:jc w:val="both"/>
        <w:outlineLvl w:val="1"/>
        <w:rPr>
          <w:rFonts w:ascii="Arial" w:eastAsia="Times New Roman" w:hAnsi="Arial" w:cs="Times New Roman"/>
          <w:sz w:val="20"/>
          <w:szCs w:val="20"/>
        </w:rPr>
      </w:pPr>
      <w:r w:rsidRPr="00802566">
        <w:rPr>
          <w:b/>
          <w:bCs/>
        </w:rPr>
        <w:t xml:space="preserve">Discussion of LCCC statistics </w:t>
      </w:r>
    </w:p>
    <w:p w14:paraId="43A57D87" w14:textId="69969DD0" w:rsidR="00383AC3" w:rsidRPr="00045D6E" w:rsidRDefault="00D6367D" w:rsidP="00045D6E">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HPQ noted that the courts h</w:t>
      </w:r>
      <w:r w:rsidR="00383AC3" w:rsidRPr="00045D6E">
        <w:rPr>
          <w:rFonts w:ascii="Arial" w:eastAsia="Times New Roman" w:hAnsi="Arial" w:cs="Times New Roman"/>
          <w:sz w:val="20"/>
          <w:szCs w:val="20"/>
        </w:rPr>
        <w:t xml:space="preserve">ave seen an </w:t>
      </w:r>
      <w:r w:rsidRPr="00045D6E">
        <w:rPr>
          <w:rFonts w:ascii="Arial" w:eastAsia="Times New Roman" w:hAnsi="Arial" w:cs="Times New Roman"/>
          <w:sz w:val="20"/>
          <w:szCs w:val="20"/>
        </w:rPr>
        <w:t>increase</w:t>
      </w:r>
      <w:r w:rsidR="00383AC3" w:rsidRPr="00045D6E">
        <w:rPr>
          <w:rFonts w:ascii="Arial" w:eastAsia="Times New Roman" w:hAnsi="Arial" w:cs="Times New Roman"/>
          <w:sz w:val="20"/>
          <w:szCs w:val="20"/>
        </w:rPr>
        <w:t xml:space="preserve"> in </w:t>
      </w:r>
      <w:r>
        <w:rPr>
          <w:rFonts w:ascii="Arial" w:eastAsia="Times New Roman" w:hAnsi="Arial" w:cs="Times New Roman"/>
          <w:sz w:val="20"/>
          <w:szCs w:val="20"/>
        </w:rPr>
        <w:t>anti-suit injunctions</w:t>
      </w:r>
      <w:r w:rsidR="00383AC3" w:rsidRPr="00045D6E">
        <w:rPr>
          <w:rFonts w:ascii="Arial" w:eastAsia="Times New Roman" w:hAnsi="Arial" w:cs="Times New Roman"/>
          <w:sz w:val="20"/>
          <w:szCs w:val="20"/>
        </w:rPr>
        <w:t xml:space="preserve"> which have become an increasingly common feature in the maritime world. </w:t>
      </w:r>
    </w:p>
    <w:p w14:paraId="14956123" w14:textId="054AC29A" w:rsidR="00383AC3" w:rsidRPr="00D6367D" w:rsidRDefault="00D6367D" w:rsidP="00711840">
      <w:pPr>
        <w:numPr>
          <w:ilvl w:val="2"/>
          <w:numId w:val="2"/>
        </w:numPr>
        <w:spacing w:after="220" w:line="240" w:lineRule="auto"/>
        <w:jc w:val="both"/>
        <w:outlineLvl w:val="1"/>
        <w:rPr>
          <w:rFonts w:ascii="Arial" w:eastAsia="Times New Roman" w:hAnsi="Arial" w:cs="Times New Roman"/>
          <w:sz w:val="20"/>
          <w:szCs w:val="20"/>
        </w:rPr>
      </w:pPr>
      <w:r w:rsidRPr="00D6367D">
        <w:rPr>
          <w:rFonts w:ascii="Arial" w:eastAsia="Times New Roman" w:hAnsi="Arial" w:cs="Times New Roman"/>
          <w:sz w:val="20"/>
          <w:szCs w:val="20"/>
        </w:rPr>
        <w:t xml:space="preserve">Regarding the issue of transfers of cases down </w:t>
      </w:r>
      <w:r w:rsidR="00802566">
        <w:rPr>
          <w:rFonts w:ascii="Arial" w:eastAsia="Times New Roman" w:hAnsi="Arial" w:cs="Times New Roman"/>
          <w:sz w:val="20"/>
          <w:szCs w:val="20"/>
        </w:rPr>
        <w:t>to the County Court</w:t>
      </w:r>
      <w:r w:rsidRPr="00D6367D">
        <w:rPr>
          <w:rFonts w:ascii="Arial" w:eastAsia="Times New Roman" w:hAnsi="Arial" w:cs="Times New Roman"/>
          <w:sz w:val="20"/>
          <w:szCs w:val="20"/>
        </w:rPr>
        <w:t xml:space="preserve">, </w:t>
      </w:r>
      <w:r w:rsidR="00115DAE">
        <w:rPr>
          <w:rFonts w:ascii="Arial" w:eastAsia="Times New Roman" w:hAnsi="Arial" w:cs="Times New Roman"/>
          <w:sz w:val="20"/>
          <w:szCs w:val="20"/>
        </w:rPr>
        <w:t>HPQ</w:t>
      </w:r>
      <w:r w:rsidRPr="00D6367D">
        <w:rPr>
          <w:rFonts w:ascii="Arial" w:eastAsia="Times New Roman" w:hAnsi="Arial" w:cs="Times New Roman"/>
          <w:sz w:val="20"/>
          <w:szCs w:val="20"/>
        </w:rPr>
        <w:t xml:space="preserve"> explained that he could not allow the </w:t>
      </w:r>
      <w:r w:rsidR="00383AC3" w:rsidRPr="00D6367D">
        <w:rPr>
          <w:rFonts w:ascii="Arial" w:eastAsia="Times New Roman" w:hAnsi="Arial" w:cs="Times New Roman"/>
          <w:sz w:val="20"/>
          <w:szCs w:val="20"/>
        </w:rPr>
        <w:t xml:space="preserve">LCCC to be </w:t>
      </w:r>
      <w:r w:rsidR="00802566">
        <w:rPr>
          <w:rFonts w:ascii="Arial" w:eastAsia="Times New Roman" w:hAnsi="Arial" w:cs="Times New Roman"/>
          <w:sz w:val="20"/>
          <w:szCs w:val="20"/>
        </w:rPr>
        <w:t xml:space="preserve">used because it was perceived to be quicker than the County Court. There was a definition that would be included in the new CCCG which made clear what cases could be started in or transferred to CCCs. </w:t>
      </w:r>
    </w:p>
    <w:p w14:paraId="595F2F82" w14:textId="1403D350" w:rsidR="00383AC3" w:rsidRDefault="00115DAE" w:rsidP="00045D6E">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 xml:space="preserve">The committee then discussed the impact of Covid on the statistics and it was noted that </w:t>
      </w:r>
      <w:r w:rsidR="00383AC3" w:rsidRPr="00045D6E">
        <w:rPr>
          <w:rFonts w:ascii="Arial" w:eastAsia="Times New Roman" w:hAnsi="Arial" w:cs="Times New Roman"/>
          <w:sz w:val="20"/>
          <w:szCs w:val="20"/>
        </w:rPr>
        <w:t>Covid has caused people to go back and look at things again</w:t>
      </w:r>
      <w:r>
        <w:rPr>
          <w:rFonts w:ascii="Arial" w:eastAsia="Times New Roman" w:hAnsi="Arial" w:cs="Times New Roman"/>
          <w:sz w:val="20"/>
          <w:szCs w:val="20"/>
        </w:rPr>
        <w:t xml:space="preserve">. AS explained that late settlement seemed to be a feature of what he had been seeing. </w:t>
      </w:r>
    </w:p>
    <w:p w14:paraId="3336CC28" w14:textId="77777777" w:rsidR="00F74B9B" w:rsidRPr="00F74B9B" w:rsidRDefault="00F74B9B" w:rsidP="00F74B9B">
      <w:pPr>
        <w:pStyle w:val="MacLevel1"/>
        <w:numPr>
          <w:ilvl w:val="1"/>
          <w:numId w:val="2"/>
        </w:numPr>
        <w:rPr>
          <w:b/>
          <w:bCs/>
        </w:rPr>
      </w:pPr>
      <w:r w:rsidRPr="00F74B9B">
        <w:rPr>
          <w:b/>
          <w:bCs/>
        </w:rPr>
        <w:t>Triaging in the LCCC and Commercial Court</w:t>
      </w:r>
    </w:p>
    <w:p w14:paraId="7D43290F" w14:textId="54B5BC68" w:rsidR="00C041B6" w:rsidRDefault="00115DAE" w:rsidP="00711840">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 xml:space="preserve">KE noted that the transfer order (i.e., the transfer of LCCC cases to the County Courts) seemed to be working very well. HPQ explained that he tried to ensure transfer took place early in the process before the costs of complying with disclosure </w:t>
      </w:r>
      <w:proofErr w:type="gramStart"/>
      <w:r>
        <w:rPr>
          <w:rFonts w:ascii="Arial" w:eastAsia="Times New Roman" w:hAnsi="Arial" w:cs="Times New Roman"/>
          <w:sz w:val="20"/>
          <w:szCs w:val="20"/>
        </w:rPr>
        <w:t>arose..</w:t>
      </w:r>
      <w:proofErr w:type="gramEnd"/>
      <w:r>
        <w:rPr>
          <w:rFonts w:ascii="Arial" w:eastAsia="Times New Roman" w:hAnsi="Arial" w:cs="Times New Roman"/>
          <w:sz w:val="20"/>
          <w:szCs w:val="20"/>
        </w:rPr>
        <w:t xml:space="preserve"> HPQ </w:t>
      </w:r>
      <w:r w:rsidR="00711840">
        <w:rPr>
          <w:rFonts w:ascii="Arial" w:eastAsia="Times New Roman" w:hAnsi="Arial" w:cs="Times New Roman"/>
          <w:sz w:val="20"/>
          <w:szCs w:val="20"/>
        </w:rPr>
        <w:t xml:space="preserve">said </w:t>
      </w:r>
      <w:proofErr w:type="gramStart"/>
      <w:r w:rsidR="00711840">
        <w:rPr>
          <w:rFonts w:ascii="Arial" w:eastAsia="Times New Roman" w:hAnsi="Arial" w:cs="Times New Roman"/>
          <w:sz w:val="20"/>
          <w:szCs w:val="20"/>
        </w:rPr>
        <w:t>that  parties</w:t>
      </w:r>
      <w:proofErr w:type="gramEnd"/>
      <w:r w:rsidR="00711840">
        <w:rPr>
          <w:rFonts w:ascii="Arial" w:eastAsia="Times New Roman" w:hAnsi="Arial" w:cs="Times New Roman"/>
          <w:sz w:val="20"/>
          <w:szCs w:val="20"/>
        </w:rPr>
        <w:t xml:space="preserve"> were given an opportunity to make submission before any final decision to transfer was taken and that parties should make submissions not only as to whether the case should remain in the LCCC but whether it should be transferred to a county court other than that identified in the initial “minded to” order or a regional CCC. </w:t>
      </w:r>
    </w:p>
    <w:p w14:paraId="057D5781" w14:textId="77777777" w:rsidR="00F74B9B" w:rsidRPr="00F74B9B" w:rsidRDefault="00F74B9B" w:rsidP="00F74B9B">
      <w:pPr>
        <w:pStyle w:val="MacLevel1"/>
        <w:numPr>
          <w:ilvl w:val="1"/>
          <w:numId w:val="2"/>
        </w:numPr>
        <w:rPr>
          <w:b/>
          <w:bCs/>
        </w:rPr>
      </w:pPr>
      <w:r w:rsidRPr="00F74B9B">
        <w:rPr>
          <w:b/>
          <w:bCs/>
        </w:rPr>
        <w:t>Appendix 5 to revised PD 51U</w:t>
      </w:r>
    </w:p>
    <w:p w14:paraId="10063ABD" w14:textId="7BDFA44C" w:rsidR="00A515FF" w:rsidRDefault="00F74B9B" w:rsidP="00045D6E">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HPQ explained that t</w:t>
      </w:r>
      <w:r w:rsidR="00DE05D7" w:rsidRPr="00045D6E">
        <w:rPr>
          <w:rFonts w:ascii="Arial" w:eastAsia="Times New Roman" w:hAnsi="Arial" w:cs="Times New Roman"/>
          <w:sz w:val="20"/>
          <w:szCs w:val="20"/>
        </w:rPr>
        <w:t xml:space="preserve">he revised version of the </w:t>
      </w:r>
      <w:r>
        <w:rPr>
          <w:rFonts w:ascii="Arial" w:eastAsia="Times New Roman" w:hAnsi="Arial" w:cs="Times New Roman"/>
          <w:sz w:val="20"/>
          <w:szCs w:val="20"/>
        </w:rPr>
        <w:t>Disclosure Pilot (PD51U)</w:t>
      </w:r>
      <w:r w:rsidR="00DE05D7" w:rsidRPr="00045D6E">
        <w:rPr>
          <w:rFonts w:ascii="Arial" w:eastAsia="Times New Roman" w:hAnsi="Arial" w:cs="Times New Roman"/>
          <w:sz w:val="20"/>
          <w:szCs w:val="20"/>
        </w:rPr>
        <w:t xml:space="preserve"> contains </w:t>
      </w:r>
      <w:proofErr w:type="spellStart"/>
      <w:r w:rsidR="00DE05D7" w:rsidRPr="00045D6E">
        <w:rPr>
          <w:rFonts w:ascii="Arial" w:eastAsia="Times New Roman" w:hAnsi="Arial" w:cs="Times New Roman"/>
          <w:sz w:val="20"/>
          <w:szCs w:val="20"/>
        </w:rPr>
        <w:t>at</w:t>
      </w:r>
      <w:proofErr w:type="spellEnd"/>
      <w:r w:rsidR="00DE05D7" w:rsidRPr="00045D6E">
        <w:rPr>
          <w:rFonts w:ascii="Arial" w:eastAsia="Times New Roman" w:hAnsi="Arial" w:cs="Times New Roman"/>
          <w:sz w:val="20"/>
          <w:szCs w:val="20"/>
        </w:rPr>
        <w:t xml:space="preserve"> Appendix 5 </w:t>
      </w:r>
      <w:r w:rsidRPr="00F74B9B">
        <w:rPr>
          <w:rFonts w:ascii="Arial" w:eastAsia="Times New Roman" w:hAnsi="Arial" w:cs="Times New Roman"/>
          <w:sz w:val="20"/>
          <w:szCs w:val="20"/>
        </w:rPr>
        <w:t>provisions for a simplified disclosure regime for Less Complex Claims</w:t>
      </w:r>
      <w:r>
        <w:rPr>
          <w:rFonts w:ascii="Arial" w:eastAsia="Times New Roman" w:hAnsi="Arial" w:cs="Times New Roman"/>
          <w:sz w:val="20"/>
          <w:szCs w:val="20"/>
        </w:rPr>
        <w:t>.</w:t>
      </w:r>
      <w:r w:rsidR="00A515FF" w:rsidRPr="00A515FF">
        <w:rPr>
          <w:rFonts w:ascii="Arial" w:eastAsia="Times New Roman" w:hAnsi="Arial" w:cs="Times New Roman"/>
          <w:sz w:val="20"/>
          <w:szCs w:val="20"/>
        </w:rPr>
        <w:t xml:space="preserve"> </w:t>
      </w:r>
      <w:r w:rsidR="00A515FF">
        <w:rPr>
          <w:rFonts w:ascii="Arial" w:eastAsia="Times New Roman" w:hAnsi="Arial" w:cs="Times New Roman"/>
          <w:sz w:val="20"/>
          <w:szCs w:val="20"/>
        </w:rPr>
        <w:t xml:space="preserve">HPQ explained that the </w:t>
      </w:r>
      <w:r w:rsidR="00A515FF" w:rsidRPr="00045D6E">
        <w:rPr>
          <w:rFonts w:ascii="Arial" w:eastAsia="Times New Roman" w:hAnsi="Arial" w:cs="Times New Roman"/>
          <w:sz w:val="20"/>
          <w:szCs w:val="20"/>
        </w:rPr>
        <w:t xml:space="preserve">current iteration of the pilot only took effect on 1 November </w:t>
      </w:r>
      <w:r w:rsidR="00A515FF">
        <w:rPr>
          <w:rFonts w:ascii="Arial" w:eastAsia="Times New Roman" w:hAnsi="Arial" w:cs="Times New Roman"/>
          <w:sz w:val="20"/>
          <w:szCs w:val="20"/>
        </w:rPr>
        <w:t xml:space="preserve">2021. </w:t>
      </w:r>
    </w:p>
    <w:p w14:paraId="07D6D326" w14:textId="0931E7DB" w:rsidR="00A515FF" w:rsidRDefault="00F74B9B" w:rsidP="00045D6E">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 xml:space="preserve">Appendix 5 </w:t>
      </w:r>
      <w:proofErr w:type="gramStart"/>
      <w:r>
        <w:rPr>
          <w:rFonts w:ascii="Arial" w:eastAsia="Times New Roman" w:hAnsi="Arial" w:cs="Times New Roman"/>
          <w:sz w:val="20"/>
          <w:szCs w:val="20"/>
        </w:rPr>
        <w:t>provided that</w:t>
      </w:r>
      <w:proofErr w:type="gramEnd"/>
      <w:r>
        <w:rPr>
          <w:rFonts w:ascii="Arial" w:eastAsia="Times New Roman" w:hAnsi="Arial" w:cs="Times New Roman"/>
          <w:sz w:val="20"/>
          <w:szCs w:val="20"/>
        </w:rPr>
        <w:t xml:space="preserve"> claims with a value of </w:t>
      </w:r>
      <w:r w:rsidRPr="00045D6E">
        <w:rPr>
          <w:rFonts w:ascii="Arial" w:eastAsia="Times New Roman" w:hAnsi="Arial" w:cs="Times New Roman"/>
          <w:sz w:val="20"/>
          <w:szCs w:val="20"/>
        </w:rPr>
        <w:t>£500,000 or less</w:t>
      </w:r>
      <w:r>
        <w:rPr>
          <w:rFonts w:ascii="Arial" w:eastAsia="Times New Roman" w:hAnsi="Arial" w:cs="Times New Roman"/>
          <w:sz w:val="20"/>
          <w:szCs w:val="20"/>
        </w:rPr>
        <w:t xml:space="preserve"> should be treated as </w:t>
      </w:r>
      <w:r w:rsidR="00DE05D7" w:rsidRPr="00045D6E">
        <w:rPr>
          <w:rFonts w:ascii="Arial" w:eastAsia="Times New Roman" w:hAnsi="Arial" w:cs="Times New Roman"/>
          <w:sz w:val="20"/>
          <w:szCs w:val="20"/>
        </w:rPr>
        <w:t>less complex</w:t>
      </w:r>
      <w:r>
        <w:rPr>
          <w:rFonts w:ascii="Arial" w:eastAsia="Times New Roman" w:hAnsi="Arial" w:cs="Times New Roman"/>
          <w:sz w:val="20"/>
          <w:szCs w:val="20"/>
        </w:rPr>
        <w:t xml:space="preserve">. That will, by definition, </w:t>
      </w:r>
      <w:r w:rsidR="00DE05D7" w:rsidRPr="00045D6E">
        <w:rPr>
          <w:rFonts w:ascii="Arial" w:eastAsia="Times New Roman" w:hAnsi="Arial" w:cs="Times New Roman"/>
          <w:sz w:val="20"/>
          <w:szCs w:val="20"/>
        </w:rPr>
        <w:t>not be of</w:t>
      </w:r>
      <w:r w:rsidR="00711840">
        <w:rPr>
          <w:rFonts w:ascii="Arial" w:eastAsia="Times New Roman" w:hAnsi="Arial" w:cs="Times New Roman"/>
          <w:sz w:val="20"/>
          <w:szCs w:val="20"/>
        </w:rPr>
        <w:t xml:space="preserve"> </w:t>
      </w:r>
      <w:proofErr w:type="gramStart"/>
      <w:r w:rsidR="00711840">
        <w:rPr>
          <w:rFonts w:ascii="Arial" w:eastAsia="Times New Roman" w:hAnsi="Arial" w:cs="Times New Roman"/>
          <w:sz w:val="20"/>
          <w:szCs w:val="20"/>
        </w:rPr>
        <w:t xml:space="preserve">much </w:t>
      </w:r>
      <w:r w:rsidR="00DE05D7" w:rsidRPr="00045D6E">
        <w:rPr>
          <w:rFonts w:ascii="Arial" w:eastAsia="Times New Roman" w:hAnsi="Arial" w:cs="Times New Roman"/>
          <w:sz w:val="20"/>
          <w:szCs w:val="20"/>
        </w:rPr>
        <w:t xml:space="preserve"> use</w:t>
      </w:r>
      <w:proofErr w:type="gramEnd"/>
      <w:r w:rsidR="00DE05D7" w:rsidRPr="00045D6E">
        <w:rPr>
          <w:rFonts w:ascii="Arial" w:eastAsia="Times New Roman" w:hAnsi="Arial" w:cs="Times New Roman"/>
          <w:sz w:val="20"/>
          <w:szCs w:val="20"/>
        </w:rPr>
        <w:t xml:space="preserve"> </w:t>
      </w:r>
      <w:r w:rsidR="00711840">
        <w:rPr>
          <w:rFonts w:ascii="Arial" w:eastAsia="Times New Roman" w:hAnsi="Arial" w:cs="Times New Roman"/>
          <w:sz w:val="20"/>
          <w:szCs w:val="20"/>
        </w:rPr>
        <w:t>in</w:t>
      </w:r>
      <w:r w:rsidR="00DE05D7" w:rsidRPr="00045D6E">
        <w:rPr>
          <w:rFonts w:ascii="Arial" w:eastAsia="Times New Roman" w:hAnsi="Arial" w:cs="Times New Roman"/>
          <w:sz w:val="20"/>
          <w:szCs w:val="20"/>
        </w:rPr>
        <w:t xml:space="preserve"> LCCC</w:t>
      </w:r>
      <w:r w:rsidR="00711840">
        <w:rPr>
          <w:rFonts w:ascii="Arial" w:eastAsia="Times New Roman" w:hAnsi="Arial" w:cs="Times New Roman"/>
          <w:sz w:val="20"/>
          <w:szCs w:val="20"/>
        </w:rPr>
        <w:t xml:space="preserve"> cases since </w:t>
      </w:r>
      <w:r w:rsidR="0087108C">
        <w:rPr>
          <w:rFonts w:ascii="Arial" w:eastAsia="Times New Roman" w:hAnsi="Arial" w:cs="Times New Roman"/>
          <w:sz w:val="20"/>
          <w:szCs w:val="20"/>
        </w:rPr>
        <w:t xml:space="preserve">most cases with a value of or below that sum would be transferred to a county court. </w:t>
      </w:r>
      <w:r>
        <w:rPr>
          <w:rFonts w:ascii="Arial" w:eastAsia="Times New Roman" w:hAnsi="Arial" w:cs="Times New Roman"/>
          <w:sz w:val="20"/>
          <w:szCs w:val="20"/>
        </w:rPr>
        <w:t>However, A</w:t>
      </w:r>
      <w:r w:rsidR="00DE05D7" w:rsidRPr="00045D6E">
        <w:rPr>
          <w:rFonts w:ascii="Arial" w:eastAsia="Times New Roman" w:hAnsi="Arial" w:cs="Times New Roman"/>
          <w:sz w:val="20"/>
          <w:szCs w:val="20"/>
        </w:rPr>
        <w:t xml:space="preserve">ppendix </w:t>
      </w:r>
      <w:r>
        <w:rPr>
          <w:rFonts w:ascii="Arial" w:eastAsia="Times New Roman" w:hAnsi="Arial" w:cs="Times New Roman"/>
          <w:sz w:val="20"/>
          <w:szCs w:val="20"/>
        </w:rPr>
        <w:t xml:space="preserve">5 </w:t>
      </w:r>
      <w:r w:rsidR="00DE05D7" w:rsidRPr="00045D6E">
        <w:rPr>
          <w:rFonts w:ascii="Arial" w:eastAsia="Times New Roman" w:hAnsi="Arial" w:cs="Times New Roman"/>
          <w:sz w:val="20"/>
          <w:szCs w:val="20"/>
        </w:rPr>
        <w:lastRenderedPageBreak/>
        <w:t xml:space="preserve">makes clear that the parties may by agreement agree that the case is a </w:t>
      </w:r>
      <w:r w:rsidR="0087108C">
        <w:rPr>
          <w:rFonts w:ascii="Arial" w:eastAsia="Times New Roman" w:hAnsi="Arial" w:cs="Times New Roman"/>
          <w:sz w:val="20"/>
          <w:szCs w:val="20"/>
        </w:rPr>
        <w:t xml:space="preserve">less </w:t>
      </w:r>
      <w:r w:rsidR="00DE05D7" w:rsidRPr="00045D6E">
        <w:rPr>
          <w:rFonts w:ascii="Arial" w:eastAsia="Times New Roman" w:hAnsi="Arial" w:cs="Times New Roman"/>
          <w:sz w:val="20"/>
          <w:szCs w:val="20"/>
        </w:rPr>
        <w:t xml:space="preserve">complex case </w:t>
      </w:r>
      <w:r w:rsidR="00A515FF">
        <w:rPr>
          <w:rFonts w:ascii="Arial" w:eastAsia="Times New Roman" w:hAnsi="Arial" w:cs="Times New Roman"/>
          <w:sz w:val="20"/>
          <w:szCs w:val="20"/>
        </w:rPr>
        <w:t>for the purpose of extended disclosure</w:t>
      </w:r>
      <w:r w:rsidR="0087108C">
        <w:rPr>
          <w:rFonts w:ascii="Arial" w:eastAsia="Times New Roman" w:hAnsi="Arial" w:cs="Times New Roman"/>
          <w:sz w:val="20"/>
          <w:szCs w:val="20"/>
        </w:rPr>
        <w:t xml:space="preserve"> regardless of value</w:t>
      </w:r>
      <w:r w:rsidR="00A515FF">
        <w:rPr>
          <w:rFonts w:ascii="Arial" w:eastAsia="Times New Roman" w:hAnsi="Arial" w:cs="Times New Roman"/>
          <w:sz w:val="20"/>
          <w:szCs w:val="20"/>
        </w:rPr>
        <w:t xml:space="preserve">. Under the scheme, extended disclosure was to be given using only Models A, B or D. Models C and E do not apply. </w:t>
      </w:r>
    </w:p>
    <w:p w14:paraId="31E94C2D" w14:textId="3E173B8D" w:rsidR="00DE05D7" w:rsidRDefault="00A515FF" w:rsidP="00045D6E">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In terms of the approach that the LCCC would take to disclosure, HPQ said he was unable to give a steer on that, as the new scheme had only taken effect from 1 November 2021. However, given that pa</w:t>
      </w:r>
      <w:r w:rsidR="00DE05D7" w:rsidRPr="00045D6E">
        <w:rPr>
          <w:rFonts w:ascii="Arial" w:eastAsia="Times New Roman" w:hAnsi="Arial" w:cs="Times New Roman"/>
          <w:sz w:val="20"/>
          <w:szCs w:val="20"/>
        </w:rPr>
        <w:t xml:space="preserve">rties can agree before or </w:t>
      </w:r>
      <w:r w:rsidRPr="00045D6E">
        <w:rPr>
          <w:rFonts w:ascii="Arial" w:eastAsia="Times New Roman" w:hAnsi="Arial" w:cs="Times New Roman"/>
          <w:sz w:val="20"/>
          <w:szCs w:val="20"/>
        </w:rPr>
        <w:t>after</w:t>
      </w:r>
      <w:r w:rsidR="00DE05D7" w:rsidRPr="00045D6E">
        <w:rPr>
          <w:rFonts w:ascii="Arial" w:eastAsia="Times New Roman" w:hAnsi="Arial" w:cs="Times New Roman"/>
          <w:sz w:val="20"/>
          <w:szCs w:val="20"/>
        </w:rPr>
        <w:t xml:space="preserve"> the commencement</w:t>
      </w:r>
      <w:r>
        <w:rPr>
          <w:rFonts w:ascii="Arial" w:eastAsia="Times New Roman" w:hAnsi="Arial" w:cs="Times New Roman"/>
          <w:sz w:val="20"/>
          <w:szCs w:val="20"/>
        </w:rPr>
        <w:t xml:space="preserve"> of</w:t>
      </w:r>
      <w:r w:rsidR="00DE05D7" w:rsidRPr="00045D6E">
        <w:rPr>
          <w:rFonts w:ascii="Arial" w:eastAsia="Times New Roman" w:hAnsi="Arial" w:cs="Times New Roman"/>
          <w:sz w:val="20"/>
          <w:szCs w:val="20"/>
        </w:rPr>
        <w:t xml:space="preserve"> </w:t>
      </w:r>
      <w:r w:rsidRPr="00045D6E">
        <w:rPr>
          <w:rFonts w:ascii="Arial" w:eastAsia="Times New Roman" w:hAnsi="Arial" w:cs="Times New Roman"/>
          <w:sz w:val="20"/>
          <w:szCs w:val="20"/>
        </w:rPr>
        <w:t>proceedings</w:t>
      </w:r>
      <w:r w:rsidR="00DE05D7" w:rsidRPr="00045D6E">
        <w:rPr>
          <w:rFonts w:ascii="Arial" w:eastAsia="Times New Roman" w:hAnsi="Arial" w:cs="Times New Roman"/>
          <w:sz w:val="20"/>
          <w:szCs w:val="20"/>
        </w:rPr>
        <w:t xml:space="preserve"> </w:t>
      </w:r>
      <w:r>
        <w:rPr>
          <w:rFonts w:ascii="Arial" w:eastAsia="Times New Roman" w:hAnsi="Arial" w:cs="Times New Roman"/>
          <w:sz w:val="20"/>
          <w:szCs w:val="20"/>
        </w:rPr>
        <w:t xml:space="preserve">that any </w:t>
      </w:r>
      <w:r w:rsidR="00DE05D7" w:rsidRPr="00045D6E">
        <w:rPr>
          <w:rFonts w:ascii="Arial" w:eastAsia="Times New Roman" w:hAnsi="Arial" w:cs="Times New Roman"/>
          <w:sz w:val="20"/>
          <w:szCs w:val="20"/>
        </w:rPr>
        <w:t>case can be treated as a less</w:t>
      </w:r>
      <w:r>
        <w:rPr>
          <w:rFonts w:ascii="Arial" w:eastAsia="Times New Roman" w:hAnsi="Arial" w:cs="Times New Roman"/>
          <w:sz w:val="20"/>
          <w:szCs w:val="20"/>
        </w:rPr>
        <w:t xml:space="preserve"> </w:t>
      </w:r>
      <w:r w:rsidR="00DE05D7" w:rsidRPr="00045D6E">
        <w:rPr>
          <w:rFonts w:ascii="Arial" w:eastAsia="Times New Roman" w:hAnsi="Arial" w:cs="Times New Roman"/>
          <w:sz w:val="20"/>
          <w:szCs w:val="20"/>
        </w:rPr>
        <w:t>complex case</w:t>
      </w:r>
      <w:r>
        <w:rPr>
          <w:rFonts w:ascii="Arial" w:eastAsia="Times New Roman" w:hAnsi="Arial" w:cs="Times New Roman"/>
          <w:sz w:val="20"/>
          <w:szCs w:val="20"/>
        </w:rPr>
        <w:t xml:space="preserve">, as a matter of </w:t>
      </w:r>
      <w:r w:rsidR="00DE05D7" w:rsidRPr="00045D6E">
        <w:rPr>
          <w:rFonts w:ascii="Arial" w:eastAsia="Times New Roman" w:hAnsi="Arial" w:cs="Times New Roman"/>
          <w:sz w:val="20"/>
          <w:szCs w:val="20"/>
        </w:rPr>
        <w:t xml:space="preserve">practicality </w:t>
      </w:r>
      <w:r>
        <w:rPr>
          <w:rFonts w:ascii="Arial" w:eastAsia="Times New Roman" w:hAnsi="Arial" w:cs="Times New Roman"/>
          <w:sz w:val="20"/>
          <w:szCs w:val="20"/>
        </w:rPr>
        <w:t>it seemed</w:t>
      </w:r>
      <w:r w:rsidR="00DE05D7" w:rsidRPr="00045D6E">
        <w:rPr>
          <w:rFonts w:ascii="Arial" w:eastAsia="Times New Roman" w:hAnsi="Arial" w:cs="Times New Roman"/>
          <w:sz w:val="20"/>
          <w:szCs w:val="20"/>
        </w:rPr>
        <w:t xml:space="preserve"> that </w:t>
      </w:r>
      <w:r>
        <w:rPr>
          <w:rFonts w:ascii="Arial" w:eastAsia="Times New Roman" w:hAnsi="Arial" w:cs="Times New Roman"/>
          <w:sz w:val="20"/>
          <w:szCs w:val="20"/>
        </w:rPr>
        <w:t>t</w:t>
      </w:r>
      <w:r w:rsidR="00DE05D7" w:rsidRPr="00045D6E">
        <w:rPr>
          <w:rFonts w:ascii="Arial" w:eastAsia="Times New Roman" w:hAnsi="Arial" w:cs="Times New Roman"/>
          <w:sz w:val="20"/>
          <w:szCs w:val="20"/>
        </w:rPr>
        <w:t>here</w:t>
      </w:r>
      <w:r>
        <w:rPr>
          <w:rFonts w:ascii="Arial" w:eastAsia="Times New Roman" w:hAnsi="Arial" w:cs="Times New Roman"/>
          <w:sz w:val="20"/>
          <w:szCs w:val="20"/>
        </w:rPr>
        <w:t xml:space="preserve"> would be scope for </w:t>
      </w:r>
      <w:r w:rsidR="00DE05D7" w:rsidRPr="00045D6E">
        <w:rPr>
          <w:rFonts w:ascii="Arial" w:eastAsia="Times New Roman" w:hAnsi="Arial" w:cs="Times New Roman"/>
          <w:sz w:val="20"/>
          <w:szCs w:val="20"/>
        </w:rPr>
        <w:t xml:space="preserve">an application to be made to take advantage of </w:t>
      </w:r>
      <w:r>
        <w:rPr>
          <w:rFonts w:ascii="Arial" w:eastAsia="Times New Roman" w:hAnsi="Arial" w:cs="Times New Roman"/>
          <w:sz w:val="20"/>
          <w:szCs w:val="20"/>
        </w:rPr>
        <w:t>A</w:t>
      </w:r>
      <w:r w:rsidR="00DE05D7" w:rsidRPr="00045D6E">
        <w:rPr>
          <w:rFonts w:ascii="Arial" w:eastAsia="Times New Roman" w:hAnsi="Arial" w:cs="Times New Roman"/>
          <w:sz w:val="20"/>
          <w:szCs w:val="20"/>
        </w:rPr>
        <w:t xml:space="preserve">ppendix 5 where there is no agreement before the work on the DPS has started. </w:t>
      </w:r>
    </w:p>
    <w:p w14:paraId="1C5466C4" w14:textId="59BD3A73" w:rsidR="00484FE5" w:rsidRPr="00484FE5" w:rsidRDefault="00484FE5" w:rsidP="00484FE5">
      <w:pPr>
        <w:pStyle w:val="MacLevel1"/>
        <w:numPr>
          <w:ilvl w:val="1"/>
          <w:numId w:val="2"/>
        </w:numPr>
        <w:outlineLvl w:val="1"/>
        <w:rPr>
          <w:b/>
          <w:bCs/>
        </w:rPr>
      </w:pPr>
      <w:r w:rsidRPr="00484FE5">
        <w:rPr>
          <w:b/>
          <w:bCs/>
        </w:rPr>
        <w:t xml:space="preserve">Circuit Commercial </w:t>
      </w:r>
      <w:r w:rsidR="00644D96">
        <w:rPr>
          <w:b/>
          <w:bCs/>
        </w:rPr>
        <w:t xml:space="preserve">Court </w:t>
      </w:r>
      <w:r w:rsidRPr="00484FE5">
        <w:rPr>
          <w:b/>
          <w:bCs/>
        </w:rPr>
        <w:t xml:space="preserve">Guide </w:t>
      </w:r>
    </w:p>
    <w:p w14:paraId="2DA4C03B" w14:textId="18B9C9C2" w:rsidR="00DE05D7" w:rsidRPr="00644D96" w:rsidRDefault="00484FE5" w:rsidP="00644D96">
      <w:pPr>
        <w:pStyle w:val="MacLevel2"/>
        <w:numPr>
          <w:ilvl w:val="2"/>
          <w:numId w:val="2"/>
        </w:numPr>
      </w:pPr>
      <w:r w:rsidRPr="00644D96">
        <w:t xml:space="preserve">As a preliminary point HPQ explained that revised draft </w:t>
      </w:r>
      <w:r w:rsidR="00644D96" w:rsidRPr="00644D96">
        <w:t xml:space="preserve">of the Circuit Commercial Court Guide </w:t>
      </w:r>
      <w:r w:rsidR="00644D96">
        <w:t>(</w:t>
      </w:r>
      <w:r w:rsidR="00644D96" w:rsidRPr="00644D96">
        <w:rPr>
          <w:b/>
          <w:bCs/>
        </w:rPr>
        <w:t>CC</w:t>
      </w:r>
      <w:r w:rsidR="00644D96">
        <w:rPr>
          <w:b/>
          <w:bCs/>
        </w:rPr>
        <w:t xml:space="preserve">C </w:t>
      </w:r>
      <w:r w:rsidR="00644D96" w:rsidRPr="00644D96">
        <w:rPr>
          <w:b/>
          <w:bCs/>
        </w:rPr>
        <w:t>G</w:t>
      </w:r>
      <w:r w:rsidR="00644D96">
        <w:rPr>
          <w:b/>
          <w:bCs/>
        </w:rPr>
        <w:t>uide</w:t>
      </w:r>
      <w:r w:rsidR="00644D96">
        <w:t xml:space="preserve">) </w:t>
      </w:r>
      <w:r w:rsidRPr="00644D96">
        <w:t xml:space="preserve">operated on the basis that there was going to be a new suite of </w:t>
      </w:r>
      <w:r w:rsidR="00DE05D7" w:rsidRPr="00644D96">
        <w:t xml:space="preserve">LCCC forms. </w:t>
      </w:r>
      <w:r w:rsidRPr="00644D96">
        <w:t xml:space="preserve">The background to this is that </w:t>
      </w:r>
      <w:r w:rsidR="00DE05D7" w:rsidRPr="00644D96">
        <w:t xml:space="preserve">under </w:t>
      </w:r>
      <w:r w:rsidR="00644D96" w:rsidRPr="00644D96">
        <w:t>CPR Pa</w:t>
      </w:r>
      <w:r w:rsidR="00DE05D7" w:rsidRPr="00644D96">
        <w:t xml:space="preserve">rt 4 there is an appendix with specialist forms attached </w:t>
      </w:r>
      <w:r w:rsidRPr="00644D96">
        <w:t xml:space="preserve">and </w:t>
      </w:r>
      <w:r w:rsidR="00DE05D7" w:rsidRPr="00644D96">
        <w:t>there is one for the Com Ct and not the CCCs</w:t>
      </w:r>
      <w:r w:rsidRPr="00644D96">
        <w:t>. T</w:t>
      </w:r>
      <w:r w:rsidR="00DE05D7" w:rsidRPr="00644D96">
        <w:t>hat is almost certainly an error</w:t>
      </w:r>
      <w:r w:rsidRPr="00644D96">
        <w:t>.  I</w:t>
      </w:r>
      <w:r w:rsidR="00DE05D7" w:rsidRPr="00644D96">
        <w:t xml:space="preserve">f you use the standard N1 form and the response pack, the recipient will not think to file an AOS whereas the rules of the </w:t>
      </w:r>
      <w:r w:rsidR="00644D96" w:rsidRPr="00644D96">
        <w:t>Commercial Court</w:t>
      </w:r>
      <w:r w:rsidR="00DE05D7" w:rsidRPr="00644D96">
        <w:t xml:space="preserve"> and CCC require an AOS for all cases</w:t>
      </w:r>
      <w:r w:rsidR="00644D96" w:rsidRPr="00644D96">
        <w:t>. T</w:t>
      </w:r>
      <w:r w:rsidRPr="00644D96">
        <w:t>herefore</w:t>
      </w:r>
      <w:r w:rsidR="00644D96">
        <w:t>,</w:t>
      </w:r>
      <w:r w:rsidRPr="00644D96">
        <w:t xml:space="preserve"> the current position was a </w:t>
      </w:r>
      <w:r w:rsidR="00DE05D7" w:rsidRPr="00644D96">
        <w:t xml:space="preserve">trap for the unwary. </w:t>
      </w:r>
    </w:p>
    <w:p w14:paraId="6760CC94" w14:textId="1ED90CD4" w:rsidR="00DE05D7" w:rsidRPr="00484FE5" w:rsidRDefault="00484FE5" w:rsidP="00484FE5">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 xml:space="preserve">Going forward there will be a suite of forms for the LCCC and another for the regional CCCs. This is because the Practice Direction distinguishes </w:t>
      </w:r>
      <w:r w:rsidR="00DE05D7" w:rsidRPr="00484FE5">
        <w:rPr>
          <w:rFonts w:ascii="Arial" w:eastAsia="Times New Roman" w:hAnsi="Arial" w:cs="Times New Roman"/>
          <w:sz w:val="20"/>
          <w:szCs w:val="20"/>
        </w:rPr>
        <w:t xml:space="preserve">between the two (others are in the </w:t>
      </w:r>
      <w:r w:rsidRPr="00484FE5">
        <w:rPr>
          <w:rFonts w:ascii="Arial" w:eastAsia="Times New Roman" w:hAnsi="Arial" w:cs="Times New Roman"/>
          <w:sz w:val="20"/>
          <w:szCs w:val="20"/>
        </w:rPr>
        <w:t>district</w:t>
      </w:r>
      <w:r w:rsidR="00DE05D7" w:rsidRPr="00484FE5">
        <w:rPr>
          <w:rFonts w:ascii="Arial" w:eastAsia="Times New Roman" w:hAnsi="Arial" w:cs="Times New Roman"/>
          <w:sz w:val="20"/>
          <w:szCs w:val="20"/>
        </w:rPr>
        <w:t xml:space="preserve"> registries). When </w:t>
      </w:r>
      <w:r>
        <w:rPr>
          <w:rFonts w:ascii="Arial" w:eastAsia="Times New Roman" w:hAnsi="Arial" w:cs="Times New Roman"/>
          <w:sz w:val="20"/>
          <w:szCs w:val="20"/>
        </w:rPr>
        <w:t xml:space="preserve">the drafting committee </w:t>
      </w:r>
      <w:r w:rsidR="00DE05D7" w:rsidRPr="00484FE5">
        <w:rPr>
          <w:rFonts w:ascii="Arial" w:eastAsia="Times New Roman" w:hAnsi="Arial" w:cs="Times New Roman"/>
          <w:sz w:val="20"/>
          <w:szCs w:val="20"/>
        </w:rPr>
        <w:t>started to look at the</w:t>
      </w:r>
      <w:r>
        <w:rPr>
          <w:rFonts w:ascii="Arial" w:eastAsia="Times New Roman" w:hAnsi="Arial" w:cs="Times New Roman"/>
          <w:sz w:val="20"/>
          <w:szCs w:val="20"/>
        </w:rPr>
        <w:t xml:space="preserve"> </w:t>
      </w:r>
      <w:r w:rsidR="00DE05D7" w:rsidRPr="00484FE5">
        <w:rPr>
          <w:rFonts w:ascii="Arial" w:eastAsia="Times New Roman" w:hAnsi="Arial" w:cs="Times New Roman"/>
          <w:sz w:val="20"/>
          <w:szCs w:val="20"/>
        </w:rPr>
        <w:t xml:space="preserve">forms the </w:t>
      </w:r>
      <w:r w:rsidRPr="00484FE5">
        <w:rPr>
          <w:rFonts w:ascii="Arial" w:eastAsia="Times New Roman" w:hAnsi="Arial" w:cs="Times New Roman"/>
          <w:sz w:val="20"/>
          <w:szCs w:val="20"/>
        </w:rPr>
        <w:t>Com</w:t>
      </w:r>
      <w:r>
        <w:rPr>
          <w:rFonts w:ascii="Arial" w:eastAsia="Times New Roman" w:hAnsi="Arial" w:cs="Times New Roman"/>
          <w:sz w:val="20"/>
          <w:szCs w:val="20"/>
        </w:rPr>
        <w:t xml:space="preserve">mercial </w:t>
      </w:r>
      <w:r w:rsidR="00DE05D7" w:rsidRPr="00484FE5">
        <w:rPr>
          <w:rFonts w:ascii="Arial" w:eastAsia="Times New Roman" w:hAnsi="Arial" w:cs="Times New Roman"/>
          <w:sz w:val="20"/>
          <w:szCs w:val="20"/>
        </w:rPr>
        <w:t>C</w:t>
      </w:r>
      <w:r>
        <w:rPr>
          <w:rFonts w:ascii="Arial" w:eastAsia="Times New Roman" w:hAnsi="Arial" w:cs="Times New Roman"/>
          <w:sz w:val="20"/>
          <w:szCs w:val="20"/>
        </w:rPr>
        <w:t xml:space="preserve">ourt forms were </w:t>
      </w:r>
      <w:r w:rsidR="00DE05D7" w:rsidRPr="00484FE5">
        <w:rPr>
          <w:rFonts w:ascii="Arial" w:eastAsia="Times New Roman" w:hAnsi="Arial" w:cs="Times New Roman"/>
          <w:sz w:val="20"/>
          <w:szCs w:val="20"/>
        </w:rPr>
        <w:t>very out of dat</w:t>
      </w:r>
      <w:r>
        <w:rPr>
          <w:rFonts w:ascii="Arial" w:eastAsia="Times New Roman" w:hAnsi="Arial" w:cs="Times New Roman"/>
          <w:sz w:val="20"/>
          <w:szCs w:val="20"/>
        </w:rPr>
        <w:t>e</w:t>
      </w:r>
      <w:r w:rsidR="00DE05D7" w:rsidRPr="00484FE5">
        <w:rPr>
          <w:rFonts w:ascii="Arial" w:eastAsia="Times New Roman" w:hAnsi="Arial" w:cs="Times New Roman"/>
          <w:sz w:val="20"/>
          <w:szCs w:val="20"/>
        </w:rPr>
        <w:t xml:space="preserve">. These </w:t>
      </w:r>
      <w:r>
        <w:rPr>
          <w:rFonts w:ascii="Arial" w:eastAsia="Times New Roman" w:hAnsi="Arial" w:cs="Times New Roman"/>
          <w:sz w:val="20"/>
          <w:szCs w:val="20"/>
        </w:rPr>
        <w:t xml:space="preserve">forms </w:t>
      </w:r>
      <w:r w:rsidR="00DE05D7" w:rsidRPr="00484FE5">
        <w:rPr>
          <w:rFonts w:ascii="Arial" w:eastAsia="Times New Roman" w:hAnsi="Arial" w:cs="Times New Roman"/>
          <w:sz w:val="20"/>
          <w:szCs w:val="20"/>
        </w:rPr>
        <w:t>have</w:t>
      </w:r>
      <w:r>
        <w:rPr>
          <w:rFonts w:ascii="Arial" w:eastAsia="Times New Roman" w:hAnsi="Arial" w:cs="Times New Roman"/>
          <w:sz w:val="20"/>
          <w:szCs w:val="20"/>
        </w:rPr>
        <w:t xml:space="preserve"> now</w:t>
      </w:r>
      <w:r w:rsidR="00DE05D7" w:rsidRPr="00484FE5">
        <w:rPr>
          <w:rFonts w:ascii="Arial" w:eastAsia="Times New Roman" w:hAnsi="Arial" w:cs="Times New Roman"/>
          <w:sz w:val="20"/>
          <w:szCs w:val="20"/>
        </w:rPr>
        <w:t xml:space="preserve"> been tidied up</w:t>
      </w:r>
      <w:r w:rsidR="00644D96">
        <w:rPr>
          <w:rFonts w:ascii="Arial" w:eastAsia="Times New Roman" w:hAnsi="Arial" w:cs="Times New Roman"/>
          <w:sz w:val="20"/>
          <w:szCs w:val="20"/>
        </w:rPr>
        <w:t>,</w:t>
      </w:r>
      <w:r w:rsidR="00DE05D7" w:rsidRPr="00484FE5">
        <w:rPr>
          <w:rFonts w:ascii="Arial" w:eastAsia="Times New Roman" w:hAnsi="Arial" w:cs="Times New Roman"/>
          <w:sz w:val="20"/>
          <w:szCs w:val="20"/>
        </w:rPr>
        <w:t xml:space="preserve"> including the CCC forms. Once the CPR committee have dealt with that it will be dealt with as a practice direction. They are very easy to use. The Regional CCC forms allow you to amend the boxes. </w:t>
      </w:r>
    </w:p>
    <w:p w14:paraId="74A40074" w14:textId="5A86FC11" w:rsidR="00C041B6" w:rsidRPr="00045D6E" w:rsidRDefault="00484FE5" w:rsidP="00045D6E">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HPQ offered his t</w:t>
      </w:r>
      <w:r w:rsidR="004910DD" w:rsidRPr="00045D6E">
        <w:rPr>
          <w:rFonts w:ascii="Arial" w:eastAsia="Times New Roman" w:hAnsi="Arial" w:cs="Times New Roman"/>
          <w:sz w:val="20"/>
          <w:szCs w:val="20"/>
        </w:rPr>
        <w:t xml:space="preserve">hanks for </w:t>
      </w:r>
      <w:r w:rsidR="0092006B">
        <w:rPr>
          <w:rFonts w:ascii="Arial" w:eastAsia="Times New Roman" w:hAnsi="Arial" w:cs="Times New Roman"/>
          <w:sz w:val="20"/>
          <w:szCs w:val="20"/>
        </w:rPr>
        <w:t xml:space="preserve">any </w:t>
      </w:r>
      <w:r w:rsidR="004910DD" w:rsidRPr="00045D6E">
        <w:rPr>
          <w:rFonts w:ascii="Arial" w:eastAsia="Times New Roman" w:hAnsi="Arial" w:cs="Times New Roman"/>
          <w:sz w:val="20"/>
          <w:szCs w:val="20"/>
        </w:rPr>
        <w:t>typos etc</w:t>
      </w:r>
      <w:r w:rsidR="0092006B">
        <w:rPr>
          <w:rFonts w:ascii="Arial" w:eastAsia="Times New Roman" w:hAnsi="Arial" w:cs="Times New Roman"/>
          <w:sz w:val="20"/>
          <w:szCs w:val="20"/>
        </w:rPr>
        <w:t xml:space="preserve">. </w:t>
      </w:r>
    </w:p>
    <w:p w14:paraId="66A40AAD" w14:textId="0DA5B233" w:rsidR="0092006B" w:rsidRDefault="0092006B" w:rsidP="00D34B24">
      <w:pPr>
        <w:numPr>
          <w:ilvl w:val="2"/>
          <w:numId w:val="2"/>
        </w:numPr>
        <w:spacing w:after="220" w:line="240" w:lineRule="auto"/>
        <w:jc w:val="both"/>
        <w:outlineLvl w:val="1"/>
        <w:rPr>
          <w:rFonts w:ascii="Arial" w:eastAsia="Times New Roman" w:hAnsi="Arial" w:cs="Times New Roman"/>
          <w:sz w:val="20"/>
          <w:szCs w:val="20"/>
        </w:rPr>
      </w:pPr>
      <w:r w:rsidRPr="0092006B">
        <w:rPr>
          <w:rFonts w:ascii="Arial" w:eastAsia="Times New Roman" w:hAnsi="Arial" w:cs="Times New Roman"/>
          <w:sz w:val="20"/>
          <w:szCs w:val="20"/>
        </w:rPr>
        <w:t xml:space="preserve">By way of background to the new guide, HPQ explained that </w:t>
      </w:r>
      <w:r w:rsidR="004910DD" w:rsidRPr="0092006B">
        <w:rPr>
          <w:rFonts w:ascii="Arial" w:eastAsia="Times New Roman" w:hAnsi="Arial" w:cs="Times New Roman"/>
          <w:sz w:val="20"/>
          <w:szCs w:val="20"/>
        </w:rPr>
        <w:t xml:space="preserve">Andrew Baker J </w:t>
      </w:r>
      <w:r>
        <w:rPr>
          <w:rFonts w:ascii="Arial" w:eastAsia="Times New Roman" w:hAnsi="Arial" w:cs="Times New Roman"/>
          <w:sz w:val="20"/>
          <w:szCs w:val="20"/>
        </w:rPr>
        <w:t xml:space="preserve">was </w:t>
      </w:r>
      <w:r w:rsidR="004910DD" w:rsidRPr="0092006B">
        <w:rPr>
          <w:rFonts w:ascii="Arial" w:eastAsia="Times New Roman" w:hAnsi="Arial" w:cs="Times New Roman"/>
          <w:sz w:val="20"/>
          <w:szCs w:val="20"/>
        </w:rPr>
        <w:t xml:space="preserve">leading </w:t>
      </w:r>
      <w:r>
        <w:rPr>
          <w:rFonts w:ascii="Arial" w:eastAsia="Times New Roman" w:hAnsi="Arial" w:cs="Times New Roman"/>
          <w:sz w:val="20"/>
          <w:szCs w:val="20"/>
        </w:rPr>
        <w:t xml:space="preserve">on the </w:t>
      </w:r>
      <w:r w:rsidR="00644D96">
        <w:rPr>
          <w:rFonts w:ascii="Arial" w:eastAsia="Times New Roman" w:hAnsi="Arial" w:cs="Times New Roman"/>
          <w:sz w:val="20"/>
          <w:szCs w:val="20"/>
        </w:rPr>
        <w:t>Commercial Court</w:t>
      </w:r>
      <w:r w:rsidR="004910DD" w:rsidRPr="0092006B">
        <w:rPr>
          <w:rFonts w:ascii="Arial" w:eastAsia="Times New Roman" w:hAnsi="Arial" w:cs="Times New Roman"/>
          <w:sz w:val="20"/>
          <w:szCs w:val="20"/>
        </w:rPr>
        <w:t xml:space="preserve"> Guide</w:t>
      </w:r>
      <w:r>
        <w:rPr>
          <w:rFonts w:ascii="Arial" w:eastAsia="Times New Roman" w:hAnsi="Arial" w:cs="Times New Roman"/>
          <w:sz w:val="20"/>
          <w:szCs w:val="20"/>
        </w:rPr>
        <w:t xml:space="preserve">. The aim of the edits was to </w:t>
      </w:r>
      <w:r w:rsidR="004910DD" w:rsidRPr="0092006B">
        <w:rPr>
          <w:rFonts w:ascii="Arial" w:eastAsia="Times New Roman" w:hAnsi="Arial" w:cs="Times New Roman"/>
          <w:sz w:val="20"/>
          <w:szCs w:val="20"/>
        </w:rPr>
        <w:t xml:space="preserve">bring it into accordance with modern practice. </w:t>
      </w:r>
    </w:p>
    <w:p w14:paraId="6A1584FC" w14:textId="4A57E724" w:rsidR="004910DD" w:rsidRPr="003D31D8" w:rsidRDefault="0092006B" w:rsidP="00B301E0">
      <w:pPr>
        <w:numPr>
          <w:ilvl w:val="2"/>
          <w:numId w:val="2"/>
        </w:numPr>
        <w:spacing w:after="220" w:line="240" w:lineRule="auto"/>
        <w:jc w:val="both"/>
        <w:outlineLvl w:val="1"/>
        <w:rPr>
          <w:rFonts w:ascii="Arial" w:eastAsia="Times New Roman" w:hAnsi="Arial" w:cs="Times New Roman"/>
          <w:sz w:val="20"/>
          <w:szCs w:val="20"/>
        </w:rPr>
      </w:pPr>
      <w:r w:rsidRPr="003D31D8">
        <w:rPr>
          <w:rFonts w:ascii="Arial" w:eastAsia="Times New Roman" w:hAnsi="Arial" w:cs="Times New Roman"/>
          <w:sz w:val="20"/>
          <w:szCs w:val="20"/>
        </w:rPr>
        <w:t>The key starting point for the CCC Guide is that it provides that users are to follow the Commercial Court Guide unless the CCC Guide said something different. The main difference between the two is that the CCC Guide looks to</w:t>
      </w:r>
      <w:r w:rsidR="004910DD" w:rsidRPr="003D31D8">
        <w:rPr>
          <w:rFonts w:ascii="Arial" w:eastAsia="Times New Roman" w:hAnsi="Arial" w:cs="Times New Roman"/>
          <w:sz w:val="20"/>
          <w:szCs w:val="20"/>
        </w:rPr>
        <w:t xml:space="preserve"> remove</w:t>
      </w:r>
      <w:r w:rsidR="0087108C">
        <w:rPr>
          <w:rFonts w:ascii="Arial" w:eastAsia="Times New Roman" w:hAnsi="Arial" w:cs="Times New Roman"/>
          <w:sz w:val="20"/>
          <w:szCs w:val="20"/>
        </w:rPr>
        <w:t xml:space="preserve"> and simplify</w:t>
      </w:r>
      <w:r w:rsidR="004910DD" w:rsidRPr="003D31D8">
        <w:rPr>
          <w:rFonts w:ascii="Arial" w:eastAsia="Times New Roman" w:hAnsi="Arial" w:cs="Times New Roman"/>
          <w:sz w:val="20"/>
          <w:szCs w:val="20"/>
        </w:rPr>
        <w:t xml:space="preserve"> things that look expensive for CCC claims. </w:t>
      </w:r>
    </w:p>
    <w:p w14:paraId="1A45D481" w14:textId="77777777" w:rsidR="001B3229" w:rsidRDefault="0092006B" w:rsidP="00126BA0">
      <w:pPr>
        <w:numPr>
          <w:ilvl w:val="2"/>
          <w:numId w:val="2"/>
        </w:numPr>
        <w:spacing w:after="220" w:line="240" w:lineRule="auto"/>
        <w:jc w:val="both"/>
        <w:outlineLvl w:val="1"/>
        <w:rPr>
          <w:rFonts w:ascii="Arial" w:eastAsia="Times New Roman" w:hAnsi="Arial" w:cs="Times New Roman"/>
          <w:sz w:val="20"/>
          <w:szCs w:val="20"/>
        </w:rPr>
      </w:pPr>
      <w:r w:rsidRPr="003D31D8">
        <w:rPr>
          <w:rFonts w:ascii="Arial" w:eastAsia="Times New Roman" w:hAnsi="Arial" w:cs="Times New Roman"/>
          <w:sz w:val="20"/>
          <w:szCs w:val="20"/>
        </w:rPr>
        <w:t>Th</w:t>
      </w:r>
      <w:r w:rsidR="004910DD" w:rsidRPr="003D31D8">
        <w:rPr>
          <w:rFonts w:ascii="Arial" w:eastAsia="Times New Roman" w:hAnsi="Arial" w:cs="Times New Roman"/>
          <w:sz w:val="20"/>
          <w:szCs w:val="20"/>
        </w:rPr>
        <w:t xml:space="preserve">e specimen directions </w:t>
      </w:r>
      <w:r w:rsidR="0087108C">
        <w:rPr>
          <w:rFonts w:ascii="Arial" w:eastAsia="Times New Roman" w:hAnsi="Arial" w:cs="Times New Roman"/>
          <w:sz w:val="20"/>
          <w:szCs w:val="20"/>
        </w:rPr>
        <w:t xml:space="preserve">had been </w:t>
      </w:r>
      <w:r w:rsidRPr="003D31D8">
        <w:rPr>
          <w:rFonts w:ascii="Arial" w:eastAsia="Times New Roman" w:hAnsi="Arial" w:cs="Times New Roman"/>
          <w:sz w:val="20"/>
          <w:szCs w:val="20"/>
        </w:rPr>
        <w:t>amended and the CMIS form</w:t>
      </w:r>
      <w:r w:rsidR="004910DD" w:rsidRPr="003D31D8">
        <w:rPr>
          <w:rFonts w:ascii="Arial" w:eastAsia="Times New Roman" w:hAnsi="Arial" w:cs="Times New Roman"/>
          <w:sz w:val="20"/>
          <w:szCs w:val="20"/>
        </w:rPr>
        <w:t xml:space="preserve"> </w:t>
      </w:r>
      <w:r w:rsidR="0087108C">
        <w:rPr>
          <w:rFonts w:ascii="Arial" w:eastAsia="Times New Roman" w:hAnsi="Arial" w:cs="Times New Roman"/>
          <w:sz w:val="20"/>
          <w:szCs w:val="20"/>
        </w:rPr>
        <w:t xml:space="preserve">had been updated </w:t>
      </w:r>
      <w:r w:rsidR="001B3229">
        <w:rPr>
          <w:rFonts w:ascii="Arial" w:eastAsia="Times New Roman" w:hAnsi="Arial" w:cs="Times New Roman"/>
          <w:sz w:val="20"/>
          <w:szCs w:val="20"/>
        </w:rPr>
        <w:t>as necessary to reflect the much closer adherence to Commercial Court practice</w:t>
      </w:r>
      <w:r w:rsidR="004910DD" w:rsidRPr="003D31D8">
        <w:rPr>
          <w:rFonts w:ascii="Arial" w:eastAsia="Times New Roman" w:hAnsi="Arial" w:cs="Times New Roman"/>
          <w:sz w:val="20"/>
          <w:szCs w:val="20"/>
        </w:rPr>
        <w:t xml:space="preserve">. </w:t>
      </w:r>
    </w:p>
    <w:p w14:paraId="01DB6FFA" w14:textId="53FBF3B9" w:rsidR="0092006B" w:rsidRPr="003D31D8" w:rsidRDefault="003D31D8" w:rsidP="00126BA0">
      <w:pPr>
        <w:numPr>
          <w:ilvl w:val="2"/>
          <w:numId w:val="2"/>
        </w:numPr>
        <w:spacing w:after="220" w:line="240" w:lineRule="auto"/>
        <w:jc w:val="both"/>
        <w:outlineLvl w:val="1"/>
        <w:rPr>
          <w:rFonts w:ascii="Arial" w:eastAsia="Times New Roman" w:hAnsi="Arial" w:cs="Times New Roman"/>
          <w:sz w:val="20"/>
          <w:szCs w:val="20"/>
        </w:rPr>
      </w:pPr>
      <w:r w:rsidRPr="003D31D8">
        <w:rPr>
          <w:rFonts w:ascii="Arial" w:eastAsia="Times New Roman" w:hAnsi="Arial" w:cs="Times New Roman"/>
          <w:sz w:val="20"/>
          <w:szCs w:val="20"/>
        </w:rPr>
        <w:t xml:space="preserve">HPQ </w:t>
      </w:r>
      <w:r w:rsidR="001B3229">
        <w:rPr>
          <w:rFonts w:ascii="Arial" w:eastAsia="Times New Roman" w:hAnsi="Arial" w:cs="Times New Roman"/>
          <w:sz w:val="20"/>
          <w:szCs w:val="20"/>
        </w:rPr>
        <w:t>identified</w:t>
      </w:r>
      <w:r w:rsidRPr="003D31D8">
        <w:rPr>
          <w:rFonts w:ascii="Arial" w:eastAsia="Times New Roman" w:hAnsi="Arial" w:cs="Times New Roman"/>
          <w:sz w:val="20"/>
          <w:szCs w:val="20"/>
        </w:rPr>
        <w:t xml:space="preserve"> </w:t>
      </w:r>
      <w:r>
        <w:rPr>
          <w:rFonts w:ascii="Arial" w:eastAsia="Times New Roman" w:hAnsi="Arial" w:cs="Times New Roman"/>
          <w:sz w:val="20"/>
          <w:szCs w:val="20"/>
        </w:rPr>
        <w:t>certain</w:t>
      </w:r>
      <w:r w:rsidR="0092006B" w:rsidRPr="003D31D8">
        <w:rPr>
          <w:rFonts w:ascii="Arial" w:eastAsia="Times New Roman" w:hAnsi="Arial" w:cs="Times New Roman"/>
          <w:sz w:val="20"/>
          <w:szCs w:val="20"/>
        </w:rPr>
        <w:t xml:space="preserve"> key points </w:t>
      </w:r>
      <w:r>
        <w:rPr>
          <w:rFonts w:ascii="Arial" w:eastAsia="Times New Roman" w:hAnsi="Arial" w:cs="Times New Roman"/>
          <w:sz w:val="20"/>
          <w:szCs w:val="20"/>
        </w:rPr>
        <w:t xml:space="preserve">going forward </w:t>
      </w:r>
      <w:r w:rsidR="001B3229">
        <w:rPr>
          <w:rFonts w:ascii="Arial" w:eastAsia="Times New Roman" w:hAnsi="Arial" w:cs="Times New Roman"/>
          <w:sz w:val="20"/>
          <w:szCs w:val="20"/>
        </w:rPr>
        <w:t xml:space="preserve">concerning </w:t>
      </w:r>
      <w:r>
        <w:rPr>
          <w:rFonts w:ascii="Arial" w:eastAsia="Times New Roman" w:hAnsi="Arial" w:cs="Times New Roman"/>
          <w:sz w:val="20"/>
          <w:szCs w:val="20"/>
        </w:rPr>
        <w:t>LCCC</w:t>
      </w:r>
      <w:r w:rsidR="0092006B" w:rsidRPr="003D31D8">
        <w:rPr>
          <w:rFonts w:ascii="Arial" w:eastAsia="Times New Roman" w:hAnsi="Arial" w:cs="Times New Roman"/>
          <w:sz w:val="20"/>
          <w:szCs w:val="20"/>
        </w:rPr>
        <w:t xml:space="preserve"> </w:t>
      </w:r>
      <w:r w:rsidR="001B3229">
        <w:rPr>
          <w:rFonts w:ascii="Arial" w:eastAsia="Times New Roman" w:hAnsi="Arial" w:cs="Times New Roman"/>
          <w:sz w:val="20"/>
          <w:szCs w:val="20"/>
        </w:rPr>
        <w:t xml:space="preserve">practice </w:t>
      </w:r>
      <w:r w:rsidR="0092006B" w:rsidRPr="003D31D8">
        <w:rPr>
          <w:rFonts w:ascii="Arial" w:eastAsia="Times New Roman" w:hAnsi="Arial" w:cs="Times New Roman"/>
          <w:sz w:val="20"/>
          <w:szCs w:val="20"/>
        </w:rPr>
        <w:t xml:space="preserve">are as follows: </w:t>
      </w:r>
    </w:p>
    <w:p w14:paraId="1FE040F3" w14:textId="4ED79E6F" w:rsidR="004910DD" w:rsidRPr="0092006B" w:rsidRDefault="004910DD" w:rsidP="0092006B">
      <w:pPr>
        <w:pStyle w:val="MacLevel3"/>
        <w:numPr>
          <w:ilvl w:val="3"/>
          <w:numId w:val="2"/>
        </w:numPr>
        <w:outlineLvl w:val="1"/>
      </w:pPr>
      <w:r w:rsidRPr="0092006B">
        <w:t xml:space="preserve">Default position is e-bundling rather than hard </w:t>
      </w:r>
      <w:r w:rsidR="0092006B">
        <w:t xml:space="preserve">copy </w:t>
      </w:r>
      <w:proofErr w:type="gramStart"/>
      <w:r w:rsidR="0092006B">
        <w:t>bundles;</w:t>
      </w:r>
      <w:proofErr w:type="gramEnd"/>
    </w:p>
    <w:p w14:paraId="76DBF4EF" w14:textId="3D811CEA" w:rsidR="004910DD" w:rsidRPr="0092006B" w:rsidRDefault="0092006B" w:rsidP="0092006B">
      <w:pPr>
        <w:pStyle w:val="MacLevel3"/>
        <w:numPr>
          <w:ilvl w:val="3"/>
          <w:numId w:val="2"/>
        </w:numPr>
        <w:outlineLvl w:val="1"/>
      </w:pPr>
      <w:r>
        <w:t>For h</w:t>
      </w:r>
      <w:r w:rsidR="004910DD" w:rsidRPr="0092006B">
        <w:t>earings of half a day or less</w:t>
      </w:r>
      <w:r>
        <w:t>,</w:t>
      </w:r>
      <w:r w:rsidR="004910DD" w:rsidRPr="0092006B">
        <w:t xml:space="preserve"> the default position is that they will be remote</w:t>
      </w:r>
      <w:r>
        <w:t>. T</w:t>
      </w:r>
      <w:r w:rsidR="004910DD" w:rsidRPr="0092006B">
        <w:t>his is designed to reduce costs</w:t>
      </w:r>
      <w:r>
        <w:t xml:space="preserve">. </w:t>
      </w:r>
    </w:p>
    <w:p w14:paraId="5BAA17B2" w14:textId="3DDF9B27" w:rsidR="004910DD" w:rsidRDefault="003D31D8" w:rsidP="00045D6E">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HP</w:t>
      </w:r>
      <w:r w:rsidR="001B3229">
        <w:rPr>
          <w:rFonts w:ascii="Arial" w:eastAsia="Times New Roman" w:hAnsi="Arial" w:cs="Times New Roman"/>
          <w:sz w:val="20"/>
          <w:szCs w:val="20"/>
        </w:rPr>
        <w:t>Q</w:t>
      </w:r>
      <w:r>
        <w:rPr>
          <w:rFonts w:ascii="Arial" w:eastAsia="Times New Roman" w:hAnsi="Arial" w:cs="Times New Roman"/>
          <w:sz w:val="20"/>
          <w:szCs w:val="20"/>
        </w:rPr>
        <w:t xml:space="preserve"> explained that t</w:t>
      </w:r>
      <w:r w:rsidR="0092006B">
        <w:rPr>
          <w:rFonts w:ascii="Arial" w:eastAsia="Times New Roman" w:hAnsi="Arial" w:cs="Times New Roman"/>
          <w:sz w:val="20"/>
          <w:szCs w:val="20"/>
        </w:rPr>
        <w:t>he current draft of the g</w:t>
      </w:r>
      <w:r w:rsidR="004910DD" w:rsidRPr="00045D6E">
        <w:rPr>
          <w:rFonts w:ascii="Arial" w:eastAsia="Times New Roman" w:hAnsi="Arial" w:cs="Times New Roman"/>
          <w:sz w:val="20"/>
          <w:szCs w:val="20"/>
        </w:rPr>
        <w:t>uide assumes new forms will come into place</w:t>
      </w:r>
      <w:r w:rsidR="0092006B">
        <w:rPr>
          <w:rFonts w:ascii="Arial" w:eastAsia="Times New Roman" w:hAnsi="Arial" w:cs="Times New Roman"/>
          <w:sz w:val="20"/>
          <w:szCs w:val="20"/>
        </w:rPr>
        <w:t>. The draft is with the</w:t>
      </w:r>
      <w:r w:rsidR="004910DD" w:rsidRPr="00045D6E">
        <w:rPr>
          <w:rFonts w:ascii="Arial" w:eastAsia="Times New Roman" w:hAnsi="Arial" w:cs="Times New Roman"/>
          <w:sz w:val="20"/>
          <w:szCs w:val="20"/>
        </w:rPr>
        <w:t xml:space="preserve"> LCJ’s office for </w:t>
      </w:r>
      <w:r w:rsidR="00644D96" w:rsidRPr="00045D6E">
        <w:rPr>
          <w:rFonts w:ascii="Arial" w:eastAsia="Times New Roman" w:hAnsi="Arial" w:cs="Times New Roman"/>
          <w:sz w:val="20"/>
          <w:szCs w:val="20"/>
        </w:rPr>
        <w:t>approval,</w:t>
      </w:r>
      <w:r w:rsidR="004910DD" w:rsidRPr="00045D6E">
        <w:rPr>
          <w:rFonts w:ascii="Arial" w:eastAsia="Times New Roman" w:hAnsi="Arial" w:cs="Times New Roman"/>
          <w:sz w:val="20"/>
          <w:szCs w:val="20"/>
        </w:rPr>
        <w:t xml:space="preserve"> </w:t>
      </w:r>
      <w:r w:rsidR="0092006B">
        <w:rPr>
          <w:rFonts w:ascii="Arial" w:eastAsia="Times New Roman" w:hAnsi="Arial" w:cs="Times New Roman"/>
          <w:sz w:val="20"/>
          <w:szCs w:val="20"/>
        </w:rPr>
        <w:t xml:space="preserve">but the aim is to get it ready to go (fix any remaining typos etc) </w:t>
      </w:r>
      <w:r w:rsidR="004910DD" w:rsidRPr="00045D6E">
        <w:rPr>
          <w:rFonts w:ascii="Arial" w:eastAsia="Times New Roman" w:hAnsi="Arial" w:cs="Times New Roman"/>
          <w:sz w:val="20"/>
          <w:szCs w:val="20"/>
        </w:rPr>
        <w:t xml:space="preserve">by the end of this term. </w:t>
      </w:r>
      <w:r>
        <w:rPr>
          <w:rFonts w:ascii="Arial" w:eastAsia="Times New Roman" w:hAnsi="Arial" w:cs="Times New Roman"/>
          <w:sz w:val="20"/>
          <w:szCs w:val="20"/>
        </w:rPr>
        <w:t xml:space="preserve">The discussion is currently </w:t>
      </w:r>
      <w:r w:rsidR="00C93D0F">
        <w:rPr>
          <w:rFonts w:ascii="Arial" w:eastAsia="Times New Roman" w:hAnsi="Arial" w:cs="Times New Roman"/>
          <w:sz w:val="20"/>
          <w:szCs w:val="20"/>
        </w:rPr>
        <w:t>focusing on</w:t>
      </w:r>
      <w:r w:rsidR="004910DD" w:rsidRPr="00045D6E">
        <w:rPr>
          <w:rFonts w:ascii="Arial" w:eastAsia="Times New Roman" w:hAnsi="Arial" w:cs="Times New Roman"/>
          <w:sz w:val="20"/>
          <w:szCs w:val="20"/>
        </w:rPr>
        <w:t xml:space="preserve"> how this is going to work with the new </w:t>
      </w:r>
      <w:r>
        <w:rPr>
          <w:rFonts w:ascii="Arial" w:eastAsia="Times New Roman" w:hAnsi="Arial" w:cs="Times New Roman"/>
          <w:sz w:val="20"/>
          <w:szCs w:val="20"/>
        </w:rPr>
        <w:t xml:space="preserve">edition </w:t>
      </w:r>
      <w:r w:rsidR="004910DD" w:rsidRPr="00045D6E">
        <w:rPr>
          <w:rFonts w:ascii="Arial" w:eastAsia="Times New Roman" w:hAnsi="Arial" w:cs="Times New Roman"/>
          <w:sz w:val="20"/>
          <w:szCs w:val="20"/>
        </w:rPr>
        <w:t xml:space="preserve">of the </w:t>
      </w:r>
      <w:r w:rsidRPr="00045D6E">
        <w:rPr>
          <w:rFonts w:ascii="Arial" w:eastAsia="Times New Roman" w:hAnsi="Arial" w:cs="Times New Roman"/>
          <w:sz w:val="20"/>
          <w:szCs w:val="20"/>
        </w:rPr>
        <w:t>White Book</w:t>
      </w:r>
      <w:r w:rsidR="004910DD" w:rsidRPr="00045D6E">
        <w:rPr>
          <w:rFonts w:ascii="Arial" w:eastAsia="Times New Roman" w:hAnsi="Arial" w:cs="Times New Roman"/>
          <w:sz w:val="20"/>
          <w:szCs w:val="20"/>
        </w:rPr>
        <w:t xml:space="preserve">. </w:t>
      </w:r>
      <w:r>
        <w:rPr>
          <w:rFonts w:ascii="Arial" w:eastAsia="Times New Roman" w:hAnsi="Arial" w:cs="Times New Roman"/>
          <w:sz w:val="20"/>
          <w:szCs w:val="20"/>
        </w:rPr>
        <w:t>They n</w:t>
      </w:r>
      <w:r w:rsidR="004910DD" w:rsidRPr="00045D6E">
        <w:rPr>
          <w:rFonts w:ascii="Arial" w:eastAsia="Times New Roman" w:hAnsi="Arial" w:cs="Times New Roman"/>
          <w:sz w:val="20"/>
          <w:szCs w:val="20"/>
        </w:rPr>
        <w:t>eed to get the editorial material for the W</w:t>
      </w:r>
      <w:r w:rsidR="00644D96">
        <w:rPr>
          <w:rFonts w:ascii="Arial" w:eastAsia="Times New Roman" w:hAnsi="Arial" w:cs="Times New Roman"/>
          <w:sz w:val="20"/>
          <w:szCs w:val="20"/>
        </w:rPr>
        <w:t xml:space="preserve">hite Book </w:t>
      </w:r>
      <w:r w:rsidR="004910DD" w:rsidRPr="00045D6E">
        <w:rPr>
          <w:rFonts w:ascii="Arial" w:eastAsia="Times New Roman" w:hAnsi="Arial" w:cs="Times New Roman"/>
          <w:sz w:val="20"/>
          <w:szCs w:val="20"/>
        </w:rPr>
        <w:t xml:space="preserve">well before then but </w:t>
      </w:r>
      <w:proofErr w:type="gramStart"/>
      <w:r w:rsidR="004910DD" w:rsidRPr="00045D6E">
        <w:rPr>
          <w:rFonts w:ascii="Arial" w:eastAsia="Times New Roman" w:hAnsi="Arial" w:cs="Times New Roman"/>
          <w:sz w:val="20"/>
          <w:szCs w:val="20"/>
        </w:rPr>
        <w:t>as long as</w:t>
      </w:r>
      <w:proofErr w:type="gramEnd"/>
      <w:r w:rsidR="004910DD" w:rsidRPr="00045D6E">
        <w:rPr>
          <w:rFonts w:ascii="Arial" w:eastAsia="Times New Roman" w:hAnsi="Arial" w:cs="Times New Roman"/>
          <w:sz w:val="20"/>
          <w:szCs w:val="20"/>
        </w:rPr>
        <w:t xml:space="preserve"> material is available by Jan</w:t>
      </w:r>
      <w:r>
        <w:rPr>
          <w:rFonts w:ascii="Arial" w:eastAsia="Times New Roman" w:hAnsi="Arial" w:cs="Times New Roman"/>
          <w:sz w:val="20"/>
          <w:szCs w:val="20"/>
        </w:rPr>
        <w:t xml:space="preserve">uary </w:t>
      </w:r>
      <w:r w:rsidR="004910DD" w:rsidRPr="00045D6E">
        <w:rPr>
          <w:rFonts w:ascii="Arial" w:eastAsia="Times New Roman" w:hAnsi="Arial" w:cs="Times New Roman"/>
          <w:sz w:val="20"/>
          <w:szCs w:val="20"/>
        </w:rPr>
        <w:t xml:space="preserve">it is </w:t>
      </w:r>
      <w:r w:rsidRPr="00045D6E">
        <w:rPr>
          <w:rFonts w:ascii="Arial" w:eastAsia="Times New Roman" w:hAnsi="Arial" w:cs="Times New Roman"/>
          <w:sz w:val="20"/>
          <w:szCs w:val="20"/>
        </w:rPr>
        <w:t>doable</w:t>
      </w:r>
      <w:r w:rsidR="004910DD" w:rsidRPr="00045D6E">
        <w:rPr>
          <w:rFonts w:ascii="Arial" w:eastAsia="Times New Roman" w:hAnsi="Arial" w:cs="Times New Roman"/>
          <w:sz w:val="20"/>
          <w:szCs w:val="20"/>
        </w:rPr>
        <w:t xml:space="preserve">. </w:t>
      </w:r>
      <w:r>
        <w:rPr>
          <w:rFonts w:ascii="Arial" w:eastAsia="Times New Roman" w:hAnsi="Arial" w:cs="Times New Roman"/>
          <w:sz w:val="20"/>
          <w:szCs w:val="20"/>
        </w:rPr>
        <w:t>The draft has g</w:t>
      </w:r>
      <w:r w:rsidR="004910DD" w:rsidRPr="00045D6E">
        <w:rPr>
          <w:rFonts w:ascii="Arial" w:eastAsia="Times New Roman" w:hAnsi="Arial" w:cs="Times New Roman"/>
          <w:sz w:val="20"/>
          <w:szCs w:val="20"/>
        </w:rPr>
        <w:t>one out to users</w:t>
      </w:r>
      <w:r w:rsidR="00C93D0F">
        <w:rPr>
          <w:rFonts w:ascii="Arial" w:eastAsia="Times New Roman" w:hAnsi="Arial" w:cs="Times New Roman"/>
          <w:sz w:val="20"/>
          <w:szCs w:val="20"/>
        </w:rPr>
        <w:t>’</w:t>
      </w:r>
      <w:r w:rsidR="004910DD" w:rsidRPr="00045D6E">
        <w:rPr>
          <w:rFonts w:ascii="Arial" w:eastAsia="Times New Roman" w:hAnsi="Arial" w:cs="Times New Roman"/>
          <w:sz w:val="20"/>
          <w:szCs w:val="20"/>
        </w:rPr>
        <w:t xml:space="preserve"> committees around the country </w:t>
      </w:r>
      <w:r w:rsidR="00526D35" w:rsidRPr="00045D6E">
        <w:rPr>
          <w:rFonts w:ascii="Arial" w:eastAsia="Times New Roman" w:hAnsi="Arial" w:cs="Times New Roman"/>
          <w:sz w:val="20"/>
          <w:szCs w:val="20"/>
        </w:rPr>
        <w:t xml:space="preserve">and will be reviewed in the next week. </w:t>
      </w:r>
    </w:p>
    <w:p w14:paraId="6F31F782" w14:textId="1D19C815" w:rsidR="00E367CA" w:rsidRPr="00E367CA" w:rsidRDefault="00E367CA" w:rsidP="00E367CA">
      <w:pPr>
        <w:spacing w:after="220" w:line="240" w:lineRule="auto"/>
        <w:jc w:val="both"/>
        <w:outlineLvl w:val="1"/>
        <w:rPr>
          <w:rFonts w:ascii="Arial" w:eastAsia="Times New Roman" w:hAnsi="Arial" w:cs="Times New Roman"/>
          <w:i/>
          <w:iCs/>
          <w:sz w:val="20"/>
          <w:szCs w:val="20"/>
        </w:rPr>
      </w:pPr>
      <w:r>
        <w:rPr>
          <w:rFonts w:ascii="Arial" w:eastAsia="Times New Roman" w:hAnsi="Arial" w:cs="Times New Roman"/>
          <w:i/>
          <w:iCs/>
          <w:sz w:val="20"/>
          <w:szCs w:val="20"/>
        </w:rPr>
        <w:t xml:space="preserve">Listing and pre-reading </w:t>
      </w:r>
    </w:p>
    <w:p w14:paraId="5D409FF5" w14:textId="67B0D5AD" w:rsidR="00662BAD" w:rsidRPr="003D31D8" w:rsidRDefault="003D31D8" w:rsidP="000F00BD">
      <w:pPr>
        <w:numPr>
          <w:ilvl w:val="2"/>
          <w:numId w:val="2"/>
        </w:numPr>
        <w:spacing w:after="220" w:line="240" w:lineRule="auto"/>
        <w:jc w:val="both"/>
        <w:outlineLvl w:val="1"/>
        <w:rPr>
          <w:rFonts w:ascii="Arial" w:eastAsia="Times New Roman" w:hAnsi="Arial" w:cs="Times New Roman"/>
          <w:sz w:val="20"/>
          <w:szCs w:val="20"/>
        </w:rPr>
      </w:pPr>
      <w:r w:rsidRPr="003D31D8">
        <w:rPr>
          <w:rFonts w:ascii="Arial" w:eastAsia="Times New Roman" w:hAnsi="Arial" w:cs="Times New Roman"/>
          <w:sz w:val="20"/>
          <w:szCs w:val="20"/>
        </w:rPr>
        <w:t>The committee discussed the new provisions on reading times. MT explained that the current practice is to fix a hearing date with a separate reading date. If that is not clear</w:t>
      </w:r>
      <w:r w:rsidR="00644D96">
        <w:rPr>
          <w:rFonts w:ascii="Arial" w:eastAsia="Times New Roman" w:hAnsi="Arial" w:cs="Times New Roman"/>
          <w:sz w:val="20"/>
          <w:szCs w:val="20"/>
        </w:rPr>
        <w:t>,</w:t>
      </w:r>
      <w:r w:rsidRPr="003D31D8">
        <w:rPr>
          <w:rFonts w:ascii="Arial" w:eastAsia="Times New Roman" w:hAnsi="Arial" w:cs="Times New Roman"/>
          <w:sz w:val="20"/>
          <w:szCs w:val="20"/>
        </w:rPr>
        <w:t xml:space="preserve"> please could </w:t>
      </w:r>
      <w:r w:rsidRPr="003D31D8">
        <w:rPr>
          <w:rFonts w:ascii="Arial" w:eastAsia="Times New Roman" w:hAnsi="Arial" w:cs="Times New Roman"/>
          <w:sz w:val="20"/>
          <w:szCs w:val="20"/>
        </w:rPr>
        <w:lastRenderedPageBreak/>
        <w:t xml:space="preserve">users let him know. </w:t>
      </w:r>
      <w:r w:rsidR="00765837">
        <w:rPr>
          <w:rFonts w:ascii="Arial" w:eastAsia="Times New Roman" w:hAnsi="Arial" w:cs="Times New Roman"/>
          <w:sz w:val="20"/>
          <w:szCs w:val="20"/>
        </w:rPr>
        <w:t xml:space="preserve">However, now the hearing length will not divide time into separate reading days and hearing days. The hearing length will run from the </w:t>
      </w:r>
      <w:r w:rsidR="00662BAD" w:rsidRPr="003D31D8">
        <w:rPr>
          <w:rFonts w:ascii="Arial" w:eastAsia="Times New Roman" w:hAnsi="Arial" w:cs="Times New Roman"/>
          <w:sz w:val="20"/>
          <w:szCs w:val="20"/>
        </w:rPr>
        <w:t xml:space="preserve">pre-reading day. </w:t>
      </w:r>
    </w:p>
    <w:p w14:paraId="2B4B78CB" w14:textId="147F48AD" w:rsidR="00662BAD" w:rsidRPr="00045D6E" w:rsidRDefault="00765837" w:rsidP="00045D6E">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 xml:space="preserve">HPQ explained that there is </w:t>
      </w:r>
      <w:r w:rsidR="00662BAD" w:rsidRPr="00045D6E">
        <w:rPr>
          <w:rFonts w:ascii="Arial" w:eastAsia="Times New Roman" w:hAnsi="Arial" w:cs="Times New Roman"/>
          <w:sz w:val="20"/>
          <w:szCs w:val="20"/>
        </w:rPr>
        <w:t xml:space="preserve">a debate </w:t>
      </w:r>
      <w:r>
        <w:rPr>
          <w:rFonts w:ascii="Arial" w:eastAsia="Times New Roman" w:hAnsi="Arial" w:cs="Times New Roman"/>
          <w:sz w:val="20"/>
          <w:szCs w:val="20"/>
        </w:rPr>
        <w:t>on</w:t>
      </w:r>
      <w:r w:rsidR="00662BAD" w:rsidRPr="00045D6E">
        <w:rPr>
          <w:rFonts w:ascii="Arial" w:eastAsia="Times New Roman" w:hAnsi="Arial" w:cs="Times New Roman"/>
          <w:sz w:val="20"/>
          <w:szCs w:val="20"/>
        </w:rPr>
        <w:t xml:space="preserve">going on in </w:t>
      </w:r>
      <w:r>
        <w:rPr>
          <w:rFonts w:ascii="Arial" w:eastAsia="Times New Roman" w:hAnsi="Arial" w:cs="Times New Roman"/>
          <w:sz w:val="20"/>
          <w:szCs w:val="20"/>
        </w:rPr>
        <w:t xml:space="preserve">the Commercial Court regarding </w:t>
      </w:r>
      <w:r w:rsidR="00662BAD" w:rsidRPr="00045D6E">
        <w:rPr>
          <w:rFonts w:ascii="Arial" w:eastAsia="Times New Roman" w:hAnsi="Arial" w:cs="Times New Roman"/>
          <w:sz w:val="20"/>
          <w:szCs w:val="20"/>
        </w:rPr>
        <w:t xml:space="preserve">complex cases. In more complex cases it may make sense to </w:t>
      </w:r>
      <w:r>
        <w:rPr>
          <w:rFonts w:ascii="Arial" w:eastAsia="Times New Roman" w:hAnsi="Arial" w:cs="Times New Roman"/>
          <w:sz w:val="20"/>
          <w:szCs w:val="20"/>
        </w:rPr>
        <w:t xml:space="preserve">have some more limited time for reading in, then have the parties attend court </w:t>
      </w:r>
      <w:r w:rsidR="001B3229">
        <w:rPr>
          <w:rFonts w:ascii="Arial" w:eastAsia="Times New Roman" w:hAnsi="Arial" w:cs="Times New Roman"/>
          <w:sz w:val="20"/>
          <w:szCs w:val="20"/>
        </w:rPr>
        <w:t xml:space="preserve">to open or partly open the case </w:t>
      </w:r>
      <w:r w:rsidR="00FB738B">
        <w:rPr>
          <w:rFonts w:ascii="Arial" w:eastAsia="Times New Roman" w:hAnsi="Arial" w:cs="Times New Roman"/>
          <w:sz w:val="20"/>
          <w:szCs w:val="20"/>
        </w:rPr>
        <w:t xml:space="preserve">before having some further </w:t>
      </w:r>
      <w:r w:rsidR="00662BAD" w:rsidRPr="00045D6E">
        <w:rPr>
          <w:rFonts w:ascii="Arial" w:eastAsia="Times New Roman" w:hAnsi="Arial" w:cs="Times New Roman"/>
          <w:sz w:val="20"/>
          <w:szCs w:val="20"/>
        </w:rPr>
        <w:t>reading</w:t>
      </w:r>
      <w:r w:rsidR="00FB738B">
        <w:rPr>
          <w:rFonts w:ascii="Arial" w:eastAsia="Times New Roman" w:hAnsi="Arial" w:cs="Times New Roman"/>
          <w:sz w:val="20"/>
          <w:szCs w:val="20"/>
        </w:rPr>
        <w:t xml:space="preserve"> time before </w:t>
      </w:r>
      <w:r w:rsidR="001B3229">
        <w:rPr>
          <w:rFonts w:ascii="Arial" w:eastAsia="Times New Roman" w:hAnsi="Arial" w:cs="Times New Roman"/>
          <w:sz w:val="20"/>
          <w:szCs w:val="20"/>
        </w:rPr>
        <w:t>completing openings and starting the evidence phase</w:t>
      </w:r>
      <w:r w:rsidR="00FB738B">
        <w:rPr>
          <w:rFonts w:ascii="Arial" w:eastAsia="Times New Roman" w:hAnsi="Arial" w:cs="Times New Roman"/>
          <w:sz w:val="20"/>
          <w:szCs w:val="20"/>
        </w:rPr>
        <w:t>. Therefore</w:t>
      </w:r>
      <w:r w:rsidR="00644D96">
        <w:rPr>
          <w:rFonts w:ascii="Arial" w:eastAsia="Times New Roman" w:hAnsi="Arial" w:cs="Times New Roman"/>
          <w:sz w:val="20"/>
          <w:szCs w:val="20"/>
        </w:rPr>
        <w:t>,</w:t>
      </w:r>
      <w:r w:rsidR="00FB738B">
        <w:rPr>
          <w:rFonts w:ascii="Arial" w:eastAsia="Times New Roman" w:hAnsi="Arial" w:cs="Times New Roman"/>
          <w:sz w:val="20"/>
          <w:szCs w:val="20"/>
        </w:rPr>
        <w:t xml:space="preserve"> going forward the time estimate will simply say “17 days” rather than “15 days plus 2 days pre-reading”. </w:t>
      </w:r>
      <w:r w:rsidR="00662BAD" w:rsidRPr="00045D6E">
        <w:rPr>
          <w:rFonts w:ascii="Arial" w:eastAsia="Times New Roman" w:hAnsi="Arial" w:cs="Times New Roman"/>
          <w:sz w:val="20"/>
          <w:szCs w:val="20"/>
        </w:rPr>
        <w:t xml:space="preserve"> Reading</w:t>
      </w:r>
      <w:r w:rsidR="00FB738B">
        <w:rPr>
          <w:rFonts w:ascii="Arial" w:eastAsia="Times New Roman" w:hAnsi="Arial" w:cs="Times New Roman"/>
          <w:sz w:val="20"/>
          <w:szCs w:val="20"/>
        </w:rPr>
        <w:t xml:space="preserve"> time</w:t>
      </w:r>
      <w:r w:rsidR="00662BAD" w:rsidRPr="00045D6E">
        <w:rPr>
          <w:rFonts w:ascii="Arial" w:eastAsia="Times New Roman" w:hAnsi="Arial" w:cs="Times New Roman"/>
          <w:sz w:val="20"/>
          <w:szCs w:val="20"/>
        </w:rPr>
        <w:t xml:space="preserve"> is now for the same week </w:t>
      </w:r>
      <w:r w:rsidR="00FB738B">
        <w:rPr>
          <w:rFonts w:ascii="Arial" w:eastAsia="Times New Roman" w:hAnsi="Arial" w:cs="Times New Roman"/>
          <w:sz w:val="20"/>
          <w:szCs w:val="20"/>
        </w:rPr>
        <w:t xml:space="preserve">as the hearing </w:t>
      </w:r>
      <w:r w:rsidR="00662BAD" w:rsidRPr="00045D6E">
        <w:rPr>
          <w:rFonts w:ascii="Arial" w:eastAsia="Times New Roman" w:hAnsi="Arial" w:cs="Times New Roman"/>
          <w:sz w:val="20"/>
          <w:szCs w:val="20"/>
        </w:rPr>
        <w:t xml:space="preserve">so that </w:t>
      </w:r>
      <w:r w:rsidR="00FB738B">
        <w:rPr>
          <w:rFonts w:ascii="Arial" w:eastAsia="Times New Roman" w:hAnsi="Arial" w:cs="Times New Roman"/>
          <w:sz w:val="20"/>
          <w:szCs w:val="20"/>
        </w:rPr>
        <w:t xml:space="preserve">cases </w:t>
      </w:r>
      <w:r w:rsidR="00662BAD" w:rsidRPr="00045D6E">
        <w:rPr>
          <w:rFonts w:ascii="Arial" w:eastAsia="Times New Roman" w:hAnsi="Arial" w:cs="Times New Roman"/>
          <w:sz w:val="20"/>
          <w:szCs w:val="20"/>
        </w:rPr>
        <w:t xml:space="preserve">can be given to </w:t>
      </w:r>
      <w:r w:rsidR="002409EE">
        <w:rPr>
          <w:rFonts w:ascii="Arial" w:eastAsia="Times New Roman" w:hAnsi="Arial" w:cs="Times New Roman"/>
          <w:sz w:val="20"/>
          <w:szCs w:val="20"/>
        </w:rPr>
        <w:t>D</w:t>
      </w:r>
      <w:r w:rsidR="00662BAD" w:rsidRPr="00045D6E">
        <w:rPr>
          <w:rFonts w:ascii="Arial" w:eastAsia="Times New Roman" w:hAnsi="Arial" w:cs="Times New Roman"/>
          <w:sz w:val="20"/>
          <w:szCs w:val="20"/>
        </w:rPr>
        <w:t>eput</w:t>
      </w:r>
      <w:r w:rsidR="002409EE">
        <w:rPr>
          <w:rFonts w:ascii="Arial" w:eastAsia="Times New Roman" w:hAnsi="Arial" w:cs="Times New Roman"/>
          <w:sz w:val="20"/>
          <w:szCs w:val="20"/>
        </w:rPr>
        <w:t>y High Court Judg</w:t>
      </w:r>
      <w:r w:rsidR="00662BAD" w:rsidRPr="00045D6E">
        <w:rPr>
          <w:rFonts w:ascii="Arial" w:eastAsia="Times New Roman" w:hAnsi="Arial" w:cs="Times New Roman"/>
          <w:sz w:val="20"/>
          <w:szCs w:val="20"/>
        </w:rPr>
        <w:t>es</w:t>
      </w:r>
      <w:r w:rsidR="00FB738B">
        <w:rPr>
          <w:rFonts w:ascii="Arial" w:eastAsia="Times New Roman" w:hAnsi="Arial" w:cs="Times New Roman"/>
          <w:sz w:val="20"/>
          <w:szCs w:val="20"/>
        </w:rPr>
        <w:t xml:space="preserve">. </w:t>
      </w:r>
    </w:p>
    <w:p w14:paraId="531361CE" w14:textId="1A97AE37" w:rsidR="00E27447" w:rsidRPr="00FB738B" w:rsidRDefault="00E27447" w:rsidP="00B80AF8">
      <w:pPr>
        <w:numPr>
          <w:ilvl w:val="2"/>
          <w:numId w:val="2"/>
        </w:numPr>
        <w:spacing w:after="220" w:line="240" w:lineRule="auto"/>
        <w:jc w:val="both"/>
        <w:outlineLvl w:val="1"/>
        <w:rPr>
          <w:rFonts w:ascii="Arial" w:eastAsia="Times New Roman" w:hAnsi="Arial" w:cs="Times New Roman"/>
          <w:sz w:val="20"/>
          <w:szCs w:val="20"/>
        </w:rPr>
      </w:pPr>
      <w:r w:rsidRPr="00FB738B">
        <w:rPr>
          <w:rFonts w:ascii="Arial" w:eastAsia="Times New Roman" w:hAnsi="Arial" w:cs="Times New Roman"/>
          <w:sz w:val="20"/>
          <w:szCs w:val="20"/>
        </w:rPr>
        <w:t xml:space="preserve">AS </w:t>
      </w:r>
      <w:proofErr w:type="gramStart"/>
      <w:r w:rsidR="00FB738B" w:rsidRPr="00FB738B">
        <w:rPr>
          <w:rFonts w:ascii="Arial" w:eastAsia="Times New Roman" w:hAnsi="Arial" w:cs="Times New Roman"/>
          <w:sz w:val="20"/>
          <w:szCs w:val="20"/>
        </w:rPr>
        <w:t>noted</w:t>
      </w:r>
      <w:proofErr w:type="gramEnd"/>
      <w:r w:rsidR="00FB738B" w:rsidRPr="00FB738B">
        <w:rPr>
          <w:rFonts w:ascii="Arial" w:eastAsia="Times New Roman" w:hAnsi="Arial" w:cs="Times New Roman"/>
          <w:sz w:val="20"/>
          <w:szCs w:val="20"/>
        </w:rPr>
        <w:t xml:space="preserve"> that for </w:t>
      </w:r>
      <w:r w:rsidRPr="00FB738B">
        <w:rPr>
          <w:rFonts w:ascii="Arial" w:eastAsia="Times New Roman" w:hAnsi="Arial" w:cs="Times New Roman"/>
          <w:sz w:val="20"/>
          <w:szCs w:val="20"/>
        </w:rPr>
        <w:t xml:space="preserve">a trial you can see this </w:t>
      </w:r>
      <w:r w:rsidR="00FB738B" w:rsidRPr="00FB738B">
        <w:rPr>
          <w:rFonts w:ascii="Arial" w:eastAsia="Times New Roman" w:hAnsi="Arial" w:cs="Times New Roman"/>
          <w:sz w:val="20"/>
          <w:szCs w:val="20"/>
        </w:rPr>
        <w:t xml:space="preserve">being </w:t>
      </w:r>
      <w:r w:rsidRPr="00FB738B">
        <w:rPr>
          <w:rFonts w:ascii="Arial" w:eastAsia="Times New Roman" w:hAnsi="Arial" w:cs="Times New Roman"/>
          <w:sz w:val="20"/>
          <w:szCs w:val="20"/>
        </w:rPr>
        <w:t>managed quite easily at a PTR</w:t>
      </w:r>
      <w:r w:rsidR="002409EE">
        <w:rPr>
          <w:rFonts w:ascii="Arial" w:eastAsia="Times New Roman" w:hAnsi="Arial" w:cs="Times New Roman"/>
          <w:sz w:val="20"/>
          <w:szCs w:val="20"/>
        </w:rPr>
        <w:t>,</w:t>
      </w:r>
      <w:r w:rsidR="00FB738B" w:rsidRPr="00FB738B">
        <w:rPr>
          <w:rFonts w:ascii="Arial" w:eastAsia="Times New Roman" w:hAnsi="Arial" w:cs="Times New Roman"/>
          <w:sz w:val="20"/>
          <w:szCs w:val="20"/>
        </w:rPr>
        <w:t xml:space="preserve"> but questioned what should happen for (e.g.) </w:t>
      </w:r>
      <w:r w:rsidRPr="00FB738B">
        <w:rPr>
          <w:rFonts w:ascii="Arial" w:eastAsia="Times New Roman" w:hAnsi="Arial" w:cs="Times New Roman"/>
          <w:sz w:val="20"/>
          <w:szCs w:val="20"/>
        </w:rPr>
        <w:t>an application listed for 2 hours – do you need to tell the listing office</w:t>
      </w:r>
      <w:r w:rsidR="00FB738B" w:rsidRPr="00FB738B">
        <w:rPr>
          <w:rFonts w:ascii="Arial" w:eastAsia="Times New Roman" w:hAnsi="Arial" w:cs="Times New Roman"/>
          <w:sz w:val="20"/>
          <w:szCs w:val="20"/>
        </w:rPr>
        <w:t>? HPQ explained that, as</w:t>
      </w:r>
      <w:r w:rsidRPr="00FB738B">
        <w:rPr>
          <w:rFonts w:ascii="Arial" w:eastAsia="Times New Roman" w:hAnsi="Arial" w:cs="Times New Roman"/>
          <w:sz w:val="20"/>
          <w:szCs w:val="20"/>
        </w:rPr>
        <w:t xml:space="preserve"> things are </w:t>
      </w:r>
      <w:proofErr w:type="gramStart"/>
      <w:r w:rsidRPr="00FB738B">
        <w:rPr>
          <w:rFonts w:ascii="Arial" w:eastAsia="Times New Roman" w:hAnsi="Arial" w:cs="Times New Roman"/>
          <w:sz w:val="20"/>
          <w:szCs w:val="20"/>
        </w:rPr>
        <w:t>at the moment</w:t>
      </w:r>
      <w:proofErr w:type="gramEnd"/>
      <w:r w:rsidRPr="00FB738B">
        <w:rPr>
          <w:rFonts w:ascii="Arial" w:eastAsia="Times New Roman" w:hAnsi="Arial" w:cs="Times New Roman"/>
          <w:sz w:val="20"/>
          <w:szCs w:val="20"/>
        </w:rPr>
        <w:t xml:space="preserve">, </w:t>
      </w:r>
      <w:r w:rsidR="00FB738B" w:rsidRPr="00FB738B">
        <w:rPr>
          <w:rFonts w:ascii="Arial" w:eastAsia="Times New Roman" w:hAnsi="Arial" w:cs="Times New Roman"/>
          <w:sz w:val="20"/>
          <w:szCs w:val="20"/>
        </w:rPr>
        <w:t>he finishes</w:t>
      </w:r>
      <w:r w:rsidRPr="00FB738B">
        <w:rPr>
          <w:rFonts w:ascii="Arial" w:eastAsia="Times New Roman" w:hAnsi="Arial" w:cs="Times New Roman"/>
          <w:sz w:val="20"/>
          <w:szCs w:val="20"/>
        </w:rPr>
        <w:t xml:space="preserve"> on Thursday </w:t>
      </w:r>
      <w:r w:rsidR="00FB738B" w:rsidRPr="00FB738B">
        <w:rPr>
          <w:rFonts w:ascii="Arial" w:eastAsia="Times New Roman" w:hAnsi="Arial" w:cs="Times New Roman"/>
          <w:sz w:val="20"/>
          <w:szCs w:val="20"/>
        </w:rPr>
        <w:t xml:space="preserve">at </w:t>
      </w:r>
      <w:r w:rsidRPr="00FB738B">
        <w:rPr>
          <w:rFonts w:ascii="Arial" w:eastAsia="Times New Roman" w:hAnsi="Arial" w:cs="Times New Roman"/>
          <w:sz w:val="20"/>
          <w:szCs w:val="20"/>
        </w:rPr>
        <w:t>4.30 and then starts reading for the Friday</w:t>
      </w:r>
      <w:r w:rsidR="00FB738B" w:rsidRPr="00FB738B">
        <w:rPr>
          <w:rFonts w:ascii="Arial" w:eastAsia="Times New Roman" w:hAnsi="Arial" w:cs="Times New Roman"/>
          <w:sz w:val="20"/>
          <w:szCs w:val="20"/>
        </w:rPr>
        <w:t xml:space="preserve">. However, </w:t>
      </w:r>
      <w:r w:rsidRPr="00FB738B">
        <w:rPr>
          <w:rFonts w:ascii="Arial" w:eastAsia="Times New Roman" w:hAnsi="Arial" w:cs="Times New Roman"/>
          <w:sz w:val="20"/>
          <w:szCs w:val="20"/>
        </w:rPr>
        <w:t>the 9</w:t>
      </w:r>
      <w:r w:rsidR="00FB738B" w:rsidRPr="00FB738B">
        <w:rPr>
          <w:rFonts w:ascii="Arial" w:eastAsia="Times New Roman" w:hAnsi="Arial" w:cs="Times New Roman"/>
          <w:sz w:val="20"/>
          <w:szCs w:val="20"/>
        </w:rPr>
        <w:t>.</w:t>
      </w:r>
      <w:r w:rsidRPr="00FB738B">
        <w:rPr>
          <w:rFonts w:ascii="Arial" w:eastAsia="Times New Roman" w:hAnsi="Arial" w:cs="Times New Roman"/>
          <w:sz w:val="20"/>
          <w:szCs w:val="20"/>
        </w:rPr>
        <w:t>30 list means that</w:t>
      </w:r>
      <w:r w:rsidR="002409EE">
        <w:rPr>
          <w:rFonts w:ascii="Arial" w:eastAsia="Times New Roman" w:hAnsi="Arial" w:cs="Times New Roman"/>
          <w:sz w:val="20"/>
          <w:szCs w:val="20"/>
        </w:rPr>
        <w:t xml:space="preserve"> he is</w:t>
      </w:r>
      <w:r w:rsidRPr="00FB738B">
        <w:rPr>
          <w:rFonts w:ascii="Arial" w:eastAsia="Times New Roman" w:hAnsi="Arial" w:cs="Times New Roman"/>
          <w:sz w:val="20"/>
          <w:szCs w:val="20"/>
        </w:rPr>
        <w:t xml:space="preserve"> probably going to </w:t>
      </w:r>
      <w:proofErr w:type="gramStart"/>
      <w:r w:rsidRPr="00FB738B">
        <w:rPr>
          <w:rFonts w:ascii="Arial" w:eastAsia="Times New Roman" w:hAnsi="Arial" w:cs="Times New Roman"/>
          <w:sz w:val="20"/>
          <w:szCs w:val="20"/>
        </w:rPr>
        <w:t xml:space="preserve">start  </w:t>
      </w:r>
      <w:r w:rsidR="002409EE">
        <w:rPr>
          <w:rFonts w:ascii="Arial" w:eastAsia="Times New Roman" w:hAnsi="Arial" w:cs="Times New Roman"/>
          <w:sz w:val="20"/>
          <w:szCs w:val="20"/>
        </w:rPr>
        <w:t>hearing</w:t>
      </w:r>
      <w:proofErr w:type="gramEnd"/>
      <w:r w:rsidR="002409EE">
        <w:rPr>
          <w:rFonts w:ascii="Arial" w:eastAsia="Times New Roman" w:hAnsi="Arial" w:cs="Times New Roman"/>
          <w:sz w:val="20"/>
          <w:szCs w:val="20"/>
        </w:rPr>
        <w:t xml:space="preserve"> cases at </w:t>
      </w:r>
      <w:r w:rsidRPr="00FB738B">
        <w:rPr>
          <w:rFonts w:ascii="Arial" w:eastAsia="Times New Roman" w:hAnsi="Arial" w:cs="Times New Roman"/>
          <w:sz w:val="20"/>
          <w:szCs w:val="20"/>
        </w:rPr>
        <w:t>9.30</w:t>
      </w:r>
      <w:r w:rsidR="002409EE">
        <w:rPr>
          <w:rFonts w:ascii="Arial" w:eastAsia="Times New Roman" w:hAnsi="Arial" w:cs="Times New Roman"/>
          <w:sz w:val="20"/>
          <w:szCs w:val="20"/>
        </w:rPr>
        <w:t>am</w:t>
      </w:r>
      <w:r w:rsidRPr="00FB738B">
        <w:rPr>
          <w:rFonts w:ascii="Arial" w:eastAsia="Times New Roman" w:hAnsi="Arial" w:cs="Times New Roman"/>
          <w:sz w:val="20"/>
          <w:szCs w:val="20"/>
        </w:rPr>
        <w:t xml:space="preserve"> and that squeezes the reading time to about 4 hours. </w:t>
      </w:r>
      <w:r w:rsidR="00FB738B" w:rsidRPr="00FB738B">
        <w:rPr>
          <w:rFonts w:ascii="Arial" w:eastAsia="Times New Roman" w:hAnsi="Arial" w:cs="Times New Roman"/>
          <w:sz w:val="20"/>
          <w:szCs w:val="20"/>
        </w:rPr>
        <w:t xml:space="preserve">HPQ’s position is that </w:t>
      </w:r>
      <w:proofErr w:type="gramStart"/>
      <w:r w:rsidR="002409EE">
        <w:rPr>
          <w:rFonts w:ascii="Arial" w:eastAsia="Times New Roman" w:hAnsi="Arial" w:cs="Times New Roman"/>
          <w:sz w:val="20"/>
          <w:szCs w:val="20"/>
        </w:rPr>
        <w:t>provided that</w:t>
      </w:r>
      <w:proofErr w:type="gramEnd"/>
      <w:r w:rsidRPr="00FB738B">
        <w:rPr>
          <w:rFonts w:ascii="Arial" w:eastAsia="Times New Roman" w:hAnsi="Arial" w:cs="Times New Roman"/>
          <w:sz w:val="20"/>
          <w:szCs w:val="20"/>
        </w:rPr>
        <w:t xml:space="preserve"> there is a reading list</w:t>
      </w:r>
      <w:r w:rsidR="00FB738B">
        <w:rPr>
          <w:rFonts w:ascii="Arial" w:eastAsia="Times New Roman" w:hAnsi="Arial" w:cs="Times New Roman"/>
          <w:sz w:val="20"/>
          <w:szCs w:val="20"/>
        </w:rPr>
        <w:t>,</w:t>
      </w:r>
      <w:r w:rsidRPr="00FB738B">
        <w:rPr>
          <w:rFonts w:ascii="Arial" w:eastAsia="Times New Roman" w:hAnsi="Arial" w:cs="Times New Roman"/>
          <w:sz w:val="20"/>
          <w:szCs w:val="20"/>
        </w:rPr>
        <w:t xml:space="preserve"> he will do his best to get it done. </w:t>
      </w:r>
      <w:r w:rsidR="00FB738B">
        <w:rPr>
          <w:rFonts w:ascii="Arial" w:eastAsia="Times New Roman" w:hAnsi="Arial" w:cs="Times New Roman"/>
          <w:sz w:val="20"/>
          <w:szCs w:val="20"/>
        </w:rPr>
        <w:t>There has been a v</w:t>
      </w:r>
      <w:r w:rsidRPr="00FB738B">
        <w:rPr>
          <w:rFonts w:ascii="Arial" w:eastAsia="Times New Roman" w:hAnsi="Arial" w:cs="Times New Roman"/>
          <w:sz w:val="20"/>
          <w:szCs w:val="20"/>
        </w:rPr>
        <w:t xml:space="preserve">ery clear steer from </w:t>
      </w:r>
      <w:r w:rsidR="00FB738B">
        <w:rPr>
          <w:rFonts w:ascii="Arial" w:eastAsia="Times New Roman" w:hAnsi="Arial" w:cs="Times New Roman"/>
          <w:sz w:val="20"/>
          <w:szCs w:val="20"/>
        </w:rPr>
        <w:t xml:space="preserve">the Commercial Court that </w:t>
      </w:r>
      <w:r w:rsidRPr="00FB738B">
        <w:rPr>
          <w:rFonts w:ascii="Arial" w:eastAsia="Times New Roman" w:hAnsi="Arial" w:cs="Times New Roman"/>
          <w:sz w:val="20"/>
          <w:szCs w:val="20"/>
        </w:rPr>
        <w:t xml:space="preserve">the ½ day estimate must include </w:t>
      </w:r>
      <w:r w:rsidR="0002314B" w:rsidRPr="00FB738B">
        <w:rPr>
          <w:rFonts w:ascii="Arial" w:eastAsia="Times New Roman" w:hAnsi="Arial" w:cs="Times New Roman"/>
          <w:sz w:val="20"/>
          <w:szCs w:val="20"/>
        </w:rPr>
        <w:t xml:space="preserve">pre-reading and judgment. </w:t>
      </w:r>
      <w:r w:rsidR="00FB738B">
        <w:rPr>
          <w:rFonts w:ascii="Arial" w:eastAsia="Times New Roman" w:hAnsi="Arial" w:cs="Times New Roman"/>
          <w:sz w:val="20"/>
          <w:szCs w:val="20"/>
        </w:rPr>
        <w:t>Non-complying</w:t>
      </w:r>
      <w:r w:rsidR="0002314B" w:rsidRPr="00FB738B">
        <w:rPr>
          <w:rFonts w:ascii="Arial" w:eastAsia="Times New Roman" w:hAnsi="Arial" w:cs="Times New Roman"/>
          <w:sz w:val="20"/>
          <w:szCs w:val="20"/>
        </w:rPr>
        <w:t xml:space="preserve"> applications are adjourned</w:t>
      </w:r>
      <w:r w:rsidR="00FB738B">
        <w:rPr>
          <w:rFonts w:ascii="Arial" w:eastAsia="Times New Roman" w:hAnsi="Arial" w:cs="Times New Roman"/>
          <w:sz w:val="20"/>
          <w:szCs w:val="20"/>
        </w:rPr>
        <w:t xml:space="preserve"> and there is</w:t>
      </w:r>
      <w:r w:rsidR="0002314B" w:rsidRPr="00FB738B">
        <w:rPr>
          <w:rFonts w:ascii="Arial" w:eastAsia="Times New Roman" w:hAnsi="Arial" w:cs="Times New Roman"/>
          <w:sz w:val="20"/>
          <w:szCs w:val="20"/>
        </w:rPr>
        <w:t xml:space="preserve"> no expedition in re-fixing it and very often there will be order disallowing the costs for the second hearing. </w:t>
      </w:r>
      <w:r w:rsidR="00FB738B">
        <w:rPr>
          <w:rFonts w:ascii="Arial" w:eastAsia="Times New Roman" w:hAnsi="Arial" w:cs="Times New Roman"/>
          <w:sz w:val="20"/>
          <w:szCs w:val="20"/>
        </w:rPr>
        <w:t>T</w:t>
      </w:r>
      <w:r w:rsidR="0002314B" w:rsidRPr="00FB738B">
        <w:rPr>
          <w:rFonts w:ascii="Arial" w:eastAsia="Times New Roman" w:hAnsi="Arial" w:cs="Times New Roman"/>
          <w:sz w:val="20"/>
          <w:szCs w:val="20"/>
        </w:rPr>
        <w:t xml:space="preserve">he practice </w:t>
      </w:r>
      <w:proofErr w:type="gramStart"/>
      <w:r w:rsidR="0002314B" w:rsidRPr="00FB738B">
        <w:rPr>
          <w:rFonts w:ascii="Arial" w:eastAsia="Times New Roman" w:hAnsi="Arial" w:cs="Times New Roman"/>
          <w:sz w:val="20"/>
          <w:szCs w:val="20"/>
        </w:rPr>
        <w:t>note</w:t>
      </w:r>
      <w:proofErr w:type="gramEnd"/>
      <w:r w:rsidR="0002314B" w:rsidRPr="00FB738B">
        <w:rPr>
          <w:rFonts w:ascii="Arial" w:eastAsia="Times New Roman" w:hAnsi="Arial" w:cs="Times New Roman"/>
          <w:sz w:val="20"/>
          <w:szCs w:val="20"/>
        </w:rPr>
        <w:t xml:space="preserve"> that </w:t>
      </w:r>
      <w:r w:rsidR="00FB738B">
        <w:rPr>
          <w:rFonts w:ascii="Arial" w:eastAsia="Times New Roman" w:hAnsi="Arial" w:cs="Times New Roman"/>
          <w:sz w:val="20"/>
          <w:szCs w:val="20"/>
        </w:rPr>
        <w:t xml:space="preserve">HPQ </w:t>
      </w:r>
      <w:r w:rsidR="0002314B" w:rsidRPr="00FB738B">
        <w:rPr>
          <w:rFonts w:ascii="Arial" w:eastAsia="Times New Roman" w:hAnsi="Arial" w:cs="Times New Roman"/>
          <w:sz w:val="20"/>
          <w:szCs w:val="20"/>
        </w:rPr>
        <w:t>and Cockerill</w:t>
      </w:r>
      <w:r w:rsidR="00FB738B">
        <w:rPr>
          <w:rFonts w:ascii="Arial" w:eastAsia="Times New Roman" w:hAnsi="Arial" w:cs="Times New Roman"/>
          <w:sz w:val="20"/>
          <w:szCs w:val="20"/>
        </w:rPr>
        <w:t xml:space="preserve"> J</w:t>
      </w:r>
      <w:r w:rsidR="0002314B" w:rsidRPr="00FB738B">
        <w:rPr>
          <w:rFonts w:ascii="Arial" w:eastAsia="Times New Roman" w:hAnsi="Arial" w:cs="Times New Roman"/>
          <w:sz w:val="20"/>
          <w:szCs w:val="20"/>
        </w:rPr>
        <w:t xml:space="preserve"> signed made </w:t>
      </w:r>
      <w:r w:rsidR="00FB738B">
        <w:rPr>
          <w:rFonts w:ascii="Arial" w:eastAsia="Times New Roman" w:hAnsi="Arial" w:cs="Times New Roman"/>
          <w:sz w:val="20"/>
          <w:szCs w:val="20"/>
        </w:rPr>
        <w:t xml:space="preserve">it very </w:t>
      </w:r>
      <w:r w:rsidR="0002314B" w:rsidRPr="00FB738B">
        <w:rPr>
          <w:rFonts w:ascii="Arial" w:eastAsia="Times New Roman" w:hAnsi="Arial" w:cs="Times New Roman"/>
          <w:sz w:val="20"/>
          <w:szCs w:val="20"/>
        </w:rPr>
        <w:t xml:space="preserve">clear that </w:t>
      </w:r>
      <w:r w:rsidR="00FB738B">
        <w:rPr>
          <w:rFonts w:ascii="Arial" w:eastAsia="Times New Roman" w:hAnsi="Arial" w:cs="Times New Roman"/>
          <w:sz w:val="20"/>
          <w:szCs w:val="20"/>
        </w:rPr>
        <w:t xml:space="preserve">there will be </w:t>
      </w:r>
      <w:r w:rsidR="0002314B" w:rsidRPr="00FB738B">
        <w:rPr>
          <w:rFonts w:ascii="Arial" w:eastAsia="Times New Roman" w:hAnsi="Arial" w:cs="Times New Roman"/>
          <w:sz w:val="20"/>
          <w:szCs w:val="20"/>
        </w:rPr>
        <w:t xml:space="preserve">costs </w:t>
      </w:r>
      <w:r w:rsidR="00FB738B" w:rsidRPr="00FB738B">
        <w:rPr>
          <w:rFonts w:ascii="Arial" w:eastAsia="Times New Roman" w:hAnsi="Arial" w:cs="Times New Roman"/>
          <w:sz w:val="20"/>
          <w:szCs w:val="20"/>
        </w:rPr>
        <w:t>consequences</w:t>
      </w:r>
      <w:r w:rsidR="0002314B" w:rsidRPr="00FB738B">
        <w:rPr>
          <w:rFonts w:ascii="Arial" w:eastAsia="Times New Roman" w:hAnsi="Arial" w:cs="Times New Roman"/>
          <w:sz w:val="20"/>
          <w:szCs w:val="20"/>
        </w:rPr>
        <w:t xml:space="preserve"> for inadequate time estimates</w:t>
      </w:r>
      <w:r w:rsidR="00FB738B">
        <w:rPr>
          <w:rFonts w:ascii="Arial" w:eastAsia="Times New Roman" w:hAnsi="Arial" w:cs="Times New Roman"/>
          <w:sz w:val="20"/>
          <w:szCs w:val="20"/>
        </w:rPr>
        <w:t xml:space="preserve">. </w:t>
      </w:r>
    </w:p>
    <w:p w14:paraId="02D271D6" w14:textId="37BC69DD" w:rsidR="0002314B" w:rsidRPr="00045D6E" w:rsidRDefault="0002314B" w:rsidP="00045D6E">
      <w:pPr>
        <w:numPr>
          <w:ilvl w:val="2"/>
          <w:numId w:val="2"/>
        </w:numPr>
        <w:spacing w:after="220" w:line="240" w:lineRule="auto"/>
        <w:jc w:val="both"/>
        <w:outlineLvl w:val="1"/>
        <w:rPr>
          <w:rFonts w:ascii="Arial" w:eastAsia="Times New Roman" w:hAnsi="Arial" w:cs="Times New Roman"/>
          <w:sz w:val="20"/>
          <w:szCs w:val="20"/>
        </w:rPr>
      </w:pPr>
      <w:r w:rsidRPr="00045D6E">
        <w:rPr>
          <w:rFonts w:ascii="Arial" w:eastAsia="Times New Roman" w:hAnsi="Arial" w:cs="Times New Roman"/>
          <w:sz w:val="20"/>
          <w:szCs w:val="20"/>
        </w:rPr>
        <w:t xml:space="preserve">There is an inclination to underestimate timing. The way in which counsel seem to </w:t>
      </w:r>
      <w:r w:rsidR="00AA0BA8" w:rsidRPr="00045D6E">
        <w:rPr>
          <w:rFonts w:ascii="Arial" w:eastAsia="Times New Roman" w:hAnsi="Arial" w:cs="Times New Roman"/>
          <w:sz w:val="20"/>
          <w:szCs w:val="20"/>
        </w:rPr>
        <w:t>operate</w:t>
      </w:r>
      <w:r w:rsidRPr="00045D6E">
        <w:rPr>
          <w:rFonts w:ascii="Arial" w:eastAsia="Times New Roman" w:hAnsi="Arial" w:cs="Times New Roman"/>
          <w:sz w:val="20"/>
          <w:szCs w:val="20"/>
        </w:rPr>
        <w:t xml:space="preserve"> now is to rattle off submissions in a way that</w:t>
      </w:r>
      <w:r w:rsidR="00791847">
        <w:rPr>
          <w:rFonts w:ascii="Arial" w:eastAsia="Times New Roman" w:hAnsi="Arial" w:cs="Times New Roman"/>
          <w:sz w:val="20"/>
          <w:szCs w:val="20"/>
        </w:rPr>
        <w:t xml:space="preserve"> discourages</w:t>
      </w:r>
      <w:r w:rsidRPr="00045D6E">
        <w:rPr>
          <w:rFonts w:ascii="Arial" w:eastAsia="Times New Roman" w:hAnsi="Arial" w:cs="Times New Roman"/>
          <w:sz w:val="20"/>
          <w:szCs w:val="20"/>
        </w:rPr>
        <w:t xml:space="preserve"> judicial intervention</w:t>
      </w:r>
      <w:r w:rsidR="00AA0BA8">
        <w:rPr>
          <w:rFonts w:ascii="Arial" w:eastAsia="Times New Roman" w:hAnsi="Arial" w:cs="Times New Roman"/>
          <w:sz w:val="20"/>
          <w:szCs w:val="20"/>
        </w:rPr>
        <w:t>;</w:t>
      </w:r>
      <w:r w:rsidRPr="00045D6E">
        <w:rPr>
          <w:rFonts w:ascii="Arial" w:eastAsia="Times New Roman" w:hAnsi="Arial" w:cs="Times New Roman"/>
          <w:sz w:val="20"/>
          <w:szCs w:val="20"/>
        </w:rPr>
        <w:t xml:space="preserve"> </w:t>
      </w:r>
      <w:r w:rsidR="00791847">
        <w:rPr>
          <w:rFonts w:ascii="Arial" w:eastAsia="Times New Roman" w:hAnsi="Arial" w:cs="Times New Roman"/>
          <w:sz w:val="20"/>
          <w:szCs w:val="20"/>
        </w:rPr>
        <w:t xml:space="preserve">it is driven by a failure correctly to estimate the time needed for the hearing and </w:t>
      </w:r>
      <w:r w:rsidRPr="00045D6E">
        <w:rPr>
          <w:rFonts w:ascii="Arial" w:eastAsia="Times New Roman" w:hAnsi="Arial" w:cs="Times New Roman"/>
          <w:sz w:val="20"/>
          <w:szCs w:val="20"/>
        </w:rPr>
        <w:t xml:space="preserve">is not satisfactory. </w:t>
      </w:r>
      <w:r w:rsidR="00791847">
        <w:rPr>
          <w:rFonts w:ascii="Arial" w:eastAsia="Times New Roman" w:hAnsi="Arial" w:cs="Times New Roman"/>
          <w:sz w:val="20"/>
          <w:szCs w:val="20"/>
        </w:rPr>
        <w:t xml:space="preserve">The judge is likely to be </w:t>
      </w:r>
      <w:r w:rsidRPr="00045D6E">
        <w:rPr>
          <w:rFonts w:ascii="Arial" w:eastAsia="Times New Roman" w:hAnsi="Arial" w:cs="Times New Roman"/>
          <w:sz w:val="20"/>
          <w:szCs w:val="20"/>
        </w:rPr>
        <w:t xml:space="preserve">unforgiving about cases that are listed for half a day and take half a day of advocacy with no time for judgment. </w:t>
      </w:r>
      <w:r w:rsidR="0006401A">
        <w:rPr>
          <w:rFonts w:ascii="Arial" w:eastAsia="Times New Roman" w:hAnsi="Arial" w:cs="Times New Roman"/>
          <w:sz w:val="20"/>
          <w:szCs w:val="20"/>
        </w:rPr>
        <w:t>That is t</w:t>
      </w:r>
      <w:r w:rsidRPr="00045D6E">
        <w:rPr>
          <w:rFonts w:ascii="Arial" w:eastAsia="Times New Roman" w:hAnsi="Arial" w:cs="Times New Roman"/>
          <w:sz w:val="20"/>
          <w:szCs w:val="20"/>
        </w:rPr>
        <w:t xml:space="preserve">he consequence of not getting time estimates correct. If </w:t>
      </w:r>
      <w:r w:rsidR="0006401A">
        <w:rPr>
          <w:rFonts w:ascii="Arial" w:eastAsia="Times New Roman" w:hAnsi="Arial" w:cs="Times New Roman"/>
          <w:sz w:val="20"/>
          <w:szCs w:val="20"/>
        </w:rPr>
        <w:t xml:space="preserve">HPQ </w:t>
      </w:r>
      <w:proofErr w:type="gramStart"/>
      <w:r w:rsidR="0006401A">
        <w:rPr>
          <w:rFonts w:ascii="Arial" w:eastAsia="Times New Roman" w:hAnsi="Arial" w:cs="Times New Roman"/>
          <w:sz w:val="20"/>
          <w:szCs w:val="20"/>
        </w:rPr>
        <w:t xml:space="preserve">has </w:t>
      </w:r>
      <w:r w:rsidRPr="00045D6E">
        <w:rPr>
          <w:rFonts w:ascii="Arial" w:eastAsia="Times New Roman" w:hAnsi="Arial" w:cs="Times New Roman"/>
          <w:sz w:val="20"/>
          <w:szCs w:val="20"/>
        </w:rPr>
        <w:t>to</w:t>
      </w:r>
      <w:proofErr w:type="gramEnd"/>
      <w:r w:rsidRPr="00045D6E">
        <w:rPr>
          <w:rFonts w:ascii="Arial" w:eastAsia="Times New Roman" w:hAnsi="Arial" w:cs="Times New Roman"/>
          <w:sz w:val="20"/>
          <w:szCs w:val="20"/>
        </w:rPr>
        <w:t xml:space="preserve"> extend </w:t>
      </w:r>
      <w:r w:rsidR="00791847">
        <w:rPr>
          <w:rFonts w:ascii="Arial" w:eastAsia="Times New Roman" w:hAnsi="Arial" w:cs="Times New Roman"/>
          <w:sz w:val="20"/>
          <w:szCs w:val="20"/>
        </w:rPr>
        <w:t xml:space="preserve">hearing times </w:t>
      </w:r>
      <w:r w:rsidRPr="00045D6E">
        <w:rPr>
          <w:rFonts w:ascii="Arial" w:eastAsia="Times New Roman" w:hAnsi="Arial" w:cs="Times New Roman"/>
          <w:sz w:val="20"/>
          <w:szCs w:val="20"/>
        </w:rPr>
        <w:t xml:space="preserve">that has a </w:t>
      </w:r>
      <w:r w:rsidR="002409EE" w:rsidRPr="00045D6E">
        <w:rPr>
          <w:rFonts w:ascii="Arial" w:eastAsia="Times New Roman" w:hAnsi="Arial" w:cs="Times New Roman"/>
          <w:sz w:val="20"/>
          <w:szCs w:val="20"/>
        </w:rPr>
        <w:t>knock-on</w:t>
      </w:r>
      <w:r w:rsidRPr="00045D6E">
        <w:rPr>
          <w:rFonts w:ascii="Arial" w:eastAsia="Times New Roman" w:hAnsi="Arial" w:cs="Times New Roman"/>
          <w:sz w:val="20"/>
          <w:szCs w:val="20"/>
        </w:rPr>
        <w:t xml:space="preserve"> effect o</w:t>
      </w:r>
      <w:r w:rsidR="002409EE">
        <w:rPr>
          <w:rFonts w:ascii="Arial" w:eastAsia="Times New Roman" w:hAnsi="Arial" w:cs="Times New Roman"/>
          <w:sz w:val="20"/>
          <w:szCs w:val="20"/>
        </w:rPr>
        <w:t>n</w:t>
      </w:r>
      <w:r w:rsidRPr="00045D6E">
        <w:rPr>
          <w:rFonts w:ascii="Arial" w:eastAsia="Times New Roman" w:hAnsi="Arial" w:cs="Times New Roman"/>
          <w:sz w:val="20"/>
          <w:szCs w:val="20"/>
        </w:rPr>
        <w:t xml:space="preserve"> other people’s applications and it rapidly becomes extremely difficult. That is the message that needs to be got out. If you list something for half a day and say it is going to take a day to pre-read and </w:t>
      </w:r>
      <w:proofErr w:type="gramStart"/>
      <w:r w:rsidRPr="00045D6E">
        <w:rPr>
          <w:rFonts w:ascii="Arial" w:eastAsia="Times New Roman" w:hAnsi="Arial" w:cs="Times New Roman"/>
          <w:sz w:val="20"/>
          <w:szCs w:val="20"/>
        </w:rPr>
        <w:t>then</w:t>
      </w:r>
      <w:r w:rsidR="00791847">
        <w:rPr>
          <w:rFonts w:ascii="Arial" w:eastAsia="Times New Roman" w:hAnsi="Arial" w:cs="Times New Roman"/>
          <w:sz w:val="20"/>
          <w:szCs w:val="20"/>
        </w:rPr>
        <w:t xml:space="preserve">  </w:t>
      </w:r>
      <w:r w:rsidR="00617C77">
        <w:rPr>
          <w:rFonts w:ascii="Arial" w:eastAsia="Times New Roman" w:hAnsi="Arial" w:cs="Times New Roman"/>
          <w:sz w:val="20"/>
          <w:szCs w:val="20"/>
        </w:rPr>
        <w:t>that</w:t>
      </w:r>
      <w:proofErr w:type="gramEnd"/>
      <w:r w:rsidR="00791847">
        <w:rPr>
          <w:rFonts w:ascii="Arial" w:eastAsia="Times New Roman" w:hAnsi="Arial" w:cs="Times New Roman"/>
          <w:sz w:val="20"/>
          <w:szCs w:val="20"/>
        </w:rPr>
        <w:t xml:space="preserve"> time will be provided</w:t>
      </w:r>
      <w:r w:rsidRPr="00045D6E">
        <w:rPr>
          <w:rFonts w:ascii="Arial" w:eastAsia="Times New Roman" w:hAnsi="Arial" w:cs="Times New Roman"/>
          <w:sz w:val="20"/>
          <w:szCs w:val="20"/>
        </w:rPr>
        <w:t xml:space="preserve">. What the Judge can’t do is get into his room 4.30 and it has two </w:t>
      </w:r>
      <w:r w:rsidR="0006401A" w:rsidRPr="00045D6E">
        <w:rPr>
          <w:rFonts w:ascii="Arial" w:eastAsia="Times New Roman" w:hAnsi="Arial" w:cs="Times New Roman"/>
          <w:sz w:val="20"/>
          <w:szCs w:val="20"/>
        </w:rPr>
        <w:t>30-page</w:t>
      </w:r>
      <w:r w:rsidRPr="00045D6E">
        <w:rPr>
          <w:rFonts w:ascii="Arial" w:eastAsia="Times New Roman" w:hAnsi="Arial" w:cs="Times New Roman"/>
          <w:sz w:val="20"/>
          <w:szCs w:val="20"/>
        </w:rPr>
        <w:t xml:space="preserve"> skeletons and 500 pages of paper for </w:t>
      </w:r>
      <w:r w:rsidR="00617C77">
        <w:rPr>
          <w:rFonts w:ascii="Arial" w:eastAsia="Times New Roman" w:hAnsi="Arial" w:cs="Times New Roman"/>
          <w:sz w:val="20"/>
          <w:szCs w:val="20"/>
        </w:rPr>
        <w:t xml:space="preserve">each of two half day </w:t>
      </w:r>
      <w:r w:rsidRPr="00045D6E">
        <w:rPr>
          <w:rFonts w:ascii="Arial" w:eastAsia="Times New Roman" w:hAnsi="Arial" w:cs="Times New Roman"/>
          <w:sz w:val="20"/>
          <w:szCs w:val="20"/>
        </w:rPr>
        <w:t xml:space="preserve">applications. </w:t>
      </w:r>
    </w:p>
    <w:p w14:paraId="723659C3" w14:textId="05573126" w:rsidR="006B6942" w:rsidRDefault="0006401A" w:rsidP="00045D6E">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In terms of guidance on timings,</w:t>
      </w:r>
      <w:r w:rsidR="00617C77">
        <w:rPr>
          <w:rFonts w:ascii="Arial" w:eastAsia="Times New Roman" w:hAnsi="Arial" w:cs="Times New Roman"/>
          <w:sz w:val="20"/>
          <w:szCs w:val="20"/>
        </w:rPr>
        <w:t xml:space="preserve"> parties should </w:t>
      </w:r>
      <w:proofErr w:type="gramStart"/>
      <w:r w:rsidR="00617C77">
        <w:rPr>
          <w:rFonts w:ascii="Arial" w:eastAsia="Times New Roman" w:hAnsi="Arial" w:cs="Times New Roman"/>
          <w:sz w:val="20"/>
          <w:szCs w:val="20"/>
        </w:rPr>
        <w:t xml:space="preserve">assume </w:t>
      </w:r>
      <w:r w:rsidR="006B6942" w:rsidRPr="00045D6E">
        <w:rPr>
          <w:rFonts w:ascii="Arial" w:eastAsia="Times New Roman" w:hAnsi="Arial" w:cs="Times New Roman"/>
          <w:sz w:val="20"/>
          <w:szCs w:val="20"/>
        </w:rPr>
        <w:t xml:space="preserve"> two</w:t>
      </w:r>
      <w:proofErr w:type="gramEnd"/>
      <w:r w:rsidR="006B6942" w:rsidRPr="00045D6E">
        <w:rPr>
          <w:rFonts w:ascii="Arial" w:eastAsia="Times New Roman" w:hAnsi="Arial" w:cs="Times New Roman"/>
          <w:sz w:val="20"/>
          <w:szCs w:val="20"/>
        </w:rPr>
        <w:t xml:space="preserve"> and a half hours </w:t>
      </w:r>
      <w:r>
        <w:rPr>
          <w:rFonts w:ascii="Arial" w:eastAsia="Times New Roman" w:hAnsi="Arial" w:cs="Times New Roman"/>
          <w:sz w:val="20"/>
          <w:szCs w:val="20"/>
        </w:rPr>
        <w:t xml:space="preserve">of hearing time will be: </w:t>
      </w:r>
      <w:r w:rsidR="006B6942" w:rsidRPr="00045D6E">
        <w:rPr>
          <w:rFonts w:ascii="Arial" w:eastAsia="Times New Roman" w:hAnsi="Arial" w:cs="Times New Roman"/>
          <w:sz w:val="20"/>
          <w:szCs w:val="20"/>
        </w:rPr>
        <w:t xml:space="preserve">30 mins judgment, 10-15 mins </w:t>
      </w:r>
      <w:r w:rsidRPr="00045D6E">
        <w:rPr>
          <w:rFonts w:ascii="Arial" w:eastAsia="Times New Roman" w:hAnsi="Arial" w:cs="Times New Roman"/>
          <w:sz w:val="20"/>
          <w:szCs w:val="20"/>
        </w:rPr>
        <w:t>consequential</w:t>
      </w:r>
      <w:r>
        <w:rPr>
          <w:rFonts w:ascii="Arial" w:eastAsia="Times New Roman" w:hAnsi="Arial" w:cs="Times New Roman"/>
          <w:sz w:val="20"/>
          <w:szCs w:val="20"/>
        </w:rPr>
        <w:t xml:space="preserve"> matters; a</w:t>
      </w:r>
      <w:r w:rsidR="006B6942" w:rsidRPr="00045D6E">
        <w:rPr>
          <w:rFonts w:ascii="Arial" w:eastAsia="Times New Roman" w:hAnsi="Arial" w:cs="Times New Roman"/>
          <w:sz w:val="20"/>
          <w:szCs w:val="20"/>
        </w:rPr>
        <w:t xml:space="preserve">n hour and a half for advocacy and no more. </w:t>
      </w:r>
    </w:p>
    <w:p w14:paraId="656A2968" w14:textId="295A9471" w:rsidR="00E367CA" w:rsidRPr="00E367CA" w:rsidRDefault="00E367CA" w:rsidP="00E367CA">
      <w:pPr>
        <w:spacing w:after="220" w:line="240" w:lineRule="auto"/>
        <w:jc w:val="both"/>
        <w:outlineLvl w:val="1"/>
        <w:rPr>
          <w:rFonts w:ascii="Arial" w:eastAsia="Times New Roman" w:hAnsi="Arial" w:cs="Times New Roman"/>
          <w:i/>
          <w:iCs/>
          <w:sz w:val="20"/>
          <w:szCs w:val="20"/>
        </w:rPr>
      </w:pPr>
      <w:r>
        <w:rPr>
          <w:rFonts w:ascii="Arial" w:eastAsia="Times New Roman" w:hAnsi="Arial" w:cs="Times New Roman"/>
          <w:i/>
          <w:iCs/>
          <w:sz w:val="20"/>
          <w:szCs w:val="20"/>
        </w:rPr>
        <w:t xml:space="preserve">Out of hours listings </w:t>
      </w:r>
    </w:p>
    <w:p w14:paraId="206356A9" w14:textId="02B6C1D4" w:rsidR="00806EA4" w:rsidRDefault="0006401A" w:rsidP="00830F27">
      <w:pPr>
        <w:numPr>
          <w:ilvl w:val="2"/>
          <w:numId w:val="2"/>
        </w:numPr>
        <w:spacing w:after="220" w:line="240" w:lineRule="auto"/>
        <w:jc w:val="both"/>
        <w:outlineLvl w:val="1"/>
        <w:rPr>
          <w:rFonts w:ascii="Arial" w:eastAsia="Times New Roman" w:hAnsi="Arial" w:cs="Times New Roman"/>
          <w:sz w:val="20"/>
          <w:szCs w:val="20"/>
        </w:rPr>
      </w:pPr>
      <w:r w:rsidRPr="0006401A">
        <w:rPr>
          <w:rFonts w:ascii="Arial" w:eastAsia="Times New Roman" w:hAnsi="Arial" w:cs="Times New Roman"/>
          <w:sz w:val="20"/>
          <w:szCs w:val="20"/>
        </w:rPr>
        <w:t>In relation to listing hearings o</w:t>
      </w:r>
      <w:r w:rsidR="00806EA4" w:rsidRPr="0006401A">
        <w:rPr>
          <w:rFonts w:ascii="Arial" w:eastAsia="Times New Roman" w:hAnsi="Arial" w:cs="Times New Roman"/>
          <w:sz w:val="20"/>
          <w:szCs w:val="20"/>
        </w:rPr>
        <w:t>ut of hours</w:t>
      </w:r>
      <w:r w:rsidRPr="0006401A">
        <w:rPr>
          <w:rFonts w:ascii="Arial" w:eastAsia="Times New Roman" w:hAnsi="Arial" w:cs="Times New Roman"/>
          <w:sz w:val="20"/>
          <w:szCs w:val="20"/>
        </w:rPr>
        <w:t xml:space="preserve">, HPQ explained that </w:t>
      </w:r>
      <w:r w:rsidR="00806EA4" w:rsidRPr="0006401A">
        <w:rPr>
          <w:rFonts w:ascii="Arial" w:eastAsia="Times New Roman" w:hAnsi="Arial" w:cs="Times New Roman"/>
          <w:sz w:val="20"/>
          <w:szCs w:val="20"/>
        </w:rPr>
        <w:t xml:space="preserve">there is a real concern at </w:t>
      </w:r>
      <w:r w:rsidRPr="0006401A">
        <w:rPr>
          <w:rFonts w:ascii="Arial" w:eastAsia="Times New Roman" w:hAnsi="Arial" w:cs="Times New Roman"/>
          <w:sz w:val="20"/>
          <w:szCs w:val="20"/>
        </w:rPr>
        <w:t xml:space="preserve">Commercial Court </w:t>
      </w:r>
      <w:r w:rsidR="00806EA4" w:rsidRPr="0006401A">
        <w:rPr>
          <w:rFonts w:ascii="Arial" w:eastAsia="Times New Roman" w:hAnsi="Arial" w:cs="Times New Roman"/>
          <w:sz w:val="20"/>
          <w:szCs w:val="20"/>
        </w:rPr>
        <w:t xml:space="preserve">level </w:t>
      </w:r>
      <w:r w:rsidRPr="0006401A">
        <w:rPr>
          <w:rFonts w:ascii="Arial" w:eastAsia="Times New Roman" w:hAnsi="Arial" w:cs="Times New Roman"/>
          <w:sz w:val="20"/>
          <w:szCs w:val="20"/>
        </w:rPr>
        <w:t>regarding applications being made</w:t>
      </w:r>
      <w:r w:rsidR="00806EA4" w:rsidRPr="0006401A">
        <w:rPr>
          <w:rFonts w:ascii="Arial" w:eastAsia="Times New Roman" w:hAnsi="Arial" w:cs="Times New Roman"/>
          <w:sz w:val="20"/>
          <w:szCs w:val="20"/>
        </w:rPr>
        <w:t xml:space="preserve"> using the out of hours service</w:t>
      </w:r>
      <w:r w:rsidRPr="0006401A">
        <w:rPr>
          <w:rFonts w:ascii="Arial" w:eastAsia="Times New Roman" w:hAnsi="Arial" w:cs="Times New Roman"/>
          <w:sz w:val="20"/>
          <w:szCs w:val="20"/>
        </w:rPr>
        <w:t>, raising questions w</w:t>
      </w:r>
      <w:r w:rsidR="00806EA4" w:rsidRPr="0006401A">
        <w:rPr>
          <w:rFonts w:ascii="Arial" w:eastAsia="Times New Roman" w:hAnsi="Arial" w:cs="Times New Roman"/>
          <w:sz w:val="20"/>
          <w:szCs w:val="20"/>
        </w:rPr>
        <w:t xml:space="preserve">hether an application was </w:t>
      </w:r>
      <w:proofErr w:type="gramStart"/>
      <w:r w:rsidR="00806EA4" w:rsidRPr="0006401A">
        <w:rPr>
          <w:rFonts w:ascii="Arial" w:eastAsia="Times New Roman" w:hAnsi="Arial" w:cs="Times New Roman"/>
          <w:sz w:val="20"/>
          <w:szCs w:val="20"/>
        </w:rPr>
        <w:t>really necessary</w:t>
      </w:r>
      <w:proofErr w:type="gramEnd"/>
      <w:r w:rsidR="00806EA4" w:rsidRPr="0006401A">
        <w:rPr>
          <w:rFonts w:ascii="Arial" w:eastAsia="Times New Roman" w:hAnsi="Arial" w:cs="Times New Roman"/>
          <w:sz w:val="20"/>
          <w:szCs w:val="20"/>
        </w:rPr>
        <w:t xml:space="preserve"> to have</w:t>
      </w:r>
      <w:r w:rsidR="002409EE">
        <w:rPr>
          <w:rFonts w:ascii="Arial" w:eastAsia="Times New Roman" w:hAnsi="Arial" w:cs="Times New Roman"/>
          <w:sz w:val="20"/>
          <w:szCs w:val="20"/>
        </w:rPr>
        <w:t xml:space="preserve"> applications made</w:t>
      </w:r>
      <w:r w:rsidR="00806EA4" w:rsidRPr="0006401A">
        <w:rPr>
          <w:rFonts w:ascii="Arial" w:eastAsia="Times New Roman" w:hAnsi="Arial" w:cs="Times New Roman"/>
          <w:sz w:val="20"/>
          <w:szCs w:val="20"/>
        </w:rPr>
        <w:t xml:space="preserve"> out of hours or whether </w:t>
      </w:r>
      <w:r w:rsidRPr="0006401A">
        <w:rPr>
          <w:rFonts w:ascii="Arial" w:eastAsia="Times New Roman" w:hAnsi="Arial" w:cs="Times New Roman"/>
          <w:sz w:val="20"/>
          <w:szCs w:val="20"/>
        </w:rPr>
        <w:t>it could have waited until</w:t>
      </w:r>
      <w:r w:rsidR="00806EA4" w:rsidRPr="0006401A">
        <w:rPr>
          <w:rFonts w:ascii="Arial" w:eastAsia="Times New Roman" w:hAnsi="Arial" w:cs="Times New Roman"/>
          <w:sz w:val="20"/>
          <w:szCs w:val="20"/>
        </w:rPr>
        <w:t xml:space="preserve"> the following morning. If applications</w:t>
      </w:r>
      <w:r>
        <w:rPr>
          <w:rFonts w:ascii="Arial" w:eastAsia="Times New Roman" w:hAnsi="Arial" w:cs="Times New Roman"/>
          <w:sz w:val="20"/>
          <w:szCs w:val="20"/>
        </w:rPr>
        <w:t xml:space="preserve"> are</w:t>
      </w:r>
      <w:r w:rsidR="00806EA4" w:rsidRPr="0006401A">
        <w:rPr>
          <w:rFonts w:ascii="Arial" w:eastAsia="Times New Roman" w:hAnsi="Arial" w:cs="Times New Roman"/>
          <w:sz w:val="20"/>
          <w:szCs w:val="20"/>
        </w:rPr>
        <w:t xml:space="preserve"> made to </w:t>
      </w:r>
      <w:r w:rsidR="00ED7A09">
        <w:rPr>
          <w:rFonts w:ascii="Arial" w:eastAsia="Times New Roman" w:hAnsi="Arial" w:cs="Times New Roman"/>
          <w:sz w:val="20"/>
          <w:szCs w:val="20"/>
        </w:rPr>
        <w:t xml:space="preserve">the duty </w:t>
      </w:r>
      <w:r w:rsidR="00806EA4" w:rsidRPr="0006401A">
        <w:rPr>
          <w:rFonts w:ascii="Arial" w:eastAsia="Times New Roman" w:hAnsi="Arial" w:cs="Times New Roman"/>
          <w:sz w:val="20"/>
          <w:szCs w:val="20"/>
        </w:rPr>
        <w:t>judge that could be made the next day</w:t>
      </w:r>
      <w:r w:rsidR="00ED7A09">
        <w:rPr>
          <w:rFonts w:ascii="Arial" w:eastAsia="Times New Roman" w:hAnsi="Arial" w:cs="Times New Roman"/>
          <w:sz w:val="20"/>
          <w:szCs w:val="20"/>
        </w:rPr>
        <w:t>, there is</w:t>
      </w:r>
      <w:r w:rsidR="00806EA4" w:rsidRPr="0006401A">
        <w:rPr>
          <w:rFonts w:ascii="Arial" w:eastAsia="Times New Roman" w:hAnsi="Arial" w:cs="Times New Roman"/>
          <w:sz w:val="20"/>
          <w:szCs w:val="20"/>
        </w:rPr>
        <w:t xml:space="preserve"> a view that the </w:t>
      </w:r>
      <w:r w:rsidR="00ED7A09">
        <w:rPr>
          <w:rFonts w:ascii="Arial" w:eastAsia="Times New Roman" w:hAnsi="Arial" w:cs="Times New Roman"/>
          <w:i/>
          <w:iCs/>
          <w:sz w:val="20"/>
          <w:szCs w:val="20"/>
        </w:rPr>
        <w:t xml:space="preserve">Hamid </w:t>
      </w:r>
      <w:r w:rsidR="00ED7A09">
        <w:rPr>
          <w:rFonts w:ascii="Arial" w:eastAsia="Times New Roman" w:hAnsi="Arial" w:cs="Times New Roman"/>
          <w:sz w:val="20"/>
          <w:szCs w:val="20"/>
        </w:rPr>
        <w:t xml:space="preserve">jurisdiction could be engaged if the </w:t>
      </w:r>
      <w:r w:rsidR="00806EA4" w:rsidRPr="0006401A">
        <w:rPr>
          <w:rFonts w:ascii="Arial" w:eastAsia="Times New Roman" w:hAnsi="Arial" w:cs="Times New Roman"/>
          <w:sz w:val="20"/>
          <w:szCs w:val="20"/>
        </w:rPr>
        <w:t xml:space="preserve">if the judge forms the view that not appropriate for </w:t>
      </w:r>
      <w:r w:rsidR="00ED7A09">
        <w:rPr>
          <w:rFonts w:ascii="Arial" w:eastAsia="Times New Roman" w:hAnsi="Arial" w:cs="Times New Roman"/>
          <w:sz w:val="20"/>
          <w:szCs w:val="20"/>
        </w:rPr>
        <w:t xml:space="preserve">duty </w:t>
      </w:r>
      <w:r w:rsidR="00806EA4" w:rsidRPr="0006401A">
        <w:rPr>
          <w:rFonts w:ascii="Arial" w:eastAsia="Times New Roman" w:hAnsi="Arial" w:cs="Times New Roman"/>
          <w:sz w:val="20"/>
          <w:szCs w:val="20"/>
        </w:rPr>
        <w:t>judge</w:t>
      </w:r>
      <w:r w:rsidR="00ED7A09">
        <w:rPr>
          <w:rFonts w:ascii="Arial" w:eastAsia="Times New Roman" w:hAnsi="Arial" w:cs="Times New Roman"/>
          <w:sz w:val="20"/>
          <w:szCs w:val="20"/>
        </w:rPr>
        <w:t>. Therefore</w:t>
      </w:r>
      <w:r w:rsidR="00E367CA">
        <w:rPr>
          <w:rFonts w:ascii="Arial" w:eastAsia="Times New Roman" w:hAnsi="Arial" w:cs="Times New Roman"/>
          <w:sz w:val="20"/>
          <w:szCs w:val="20"/>
        </w:rPr>
        <w:t xml:space="preserve">, </w:t>
      </w:r>
      <w:r w:rsidR="00806EA4" w:rsidRPr="0006401A">
        <w:rPr>
          <w:rFonts w:ascii="Arial" w:eastAsia="Times New Roman" w:hAnsi="Arial" w:cs="Times New Roman"/>
          <w:sz w:val="20"/>
          <w:szCs w:val="20"/>
        </w:rPr>
        <w:t>the strong default position is that you should not be using the</w:t>
      </w:r>
      <w:r w:rsidR="00ED7A09">
        <w:rPr>
          <w:rFonts w:ascii="Arial" w:eastAsia="Times New Roman" w:hAnsi="Arial" w:cs="Times New Roman"/>
          <w:sz w:val="20"/>
          <w:szCs w:val="20"/>
        </w:rPr>
        <w:t xml:space="preserve"> out of hours</w:t>
      </w:r>
      <w:r w:rsidR="00806EA4" w:rsidRPr="0006401A">
        <w:rPr>
          <w:rFonts w:ascii="Arial" w:eastAsia="Times New Roman" w:hAnsi="Arial" w:cs="Times New Roman"/>
          <w:sz w:val="20"/>
          <w:szCs w:val="20"/>
        </w:rPr>
        <w:t xml:space="preserve"> service </w:t>
      </w:r>
      <w:r w:rsidR="00ED7A09">
        <w:rPr>
          <w:rFonts w:ascii="Arial" w:eastAsia="Times New Roman" w:hAnsi="Arial" w:cs="Times New Roman"/>
          <w:sz w:val="20"/>
          <w:szCs w:val="20"/>
        </w:rPr>
        <w:t xml:space="preserve">in which case </w:t>
      </w:r>
      <w:r w:rsidR="00806EA4" w:rsidRPr="0006401A">
        <w:rPr>
          <w:rFonts w:ascii="Arial" w:eastAsia="Times New Roman" w:hAnsi="Arial" w:cs="Times New Roman"/>
          <w:sz w:val="20"/>
          <w:szCs w:val="20"/>
        </w:rPr>
        <w:t>the urgent applications system</w:t>
      </w:r>
      <w:r w:rsidR="00ED7A09">
        <w:rPr>
          <w:rFonts w:ascii="Arial" w:eastAsia="Times New Roman" w:hAnsi="Arial" w:cs="Times New Roman"/>
          <w:sz w:val="20"/>
          <w:szCs w:val="20"/>
        </w:rPr>
        <w:t xml:space="preserve"> will work</w:t>
      </w:r>
      <w:r w:rsidR="00806EA4" w:rsidRPr="0006401A">
        <w:rPr>
          <w:rFonts w:ascii="Arial" w:eastAsia="Times New Roman" w:hAnsi="Arial" w:cs="Times New Roman"/>
          <w:sz w:val="20"/>
          <w:szCs w:val="20"/>
        </w:rPr>
        <w:t xml:space="preserve"> very well. </w:t>
      </w:r>
    </w:p>
    <w:p w14:paraId="3ED4525A" w14:textId="66755D91" w:rsidR="00E367CA" w:rsidRPr="0006401A" w:rsidRDefault="00E367CA" w:rsidP="002409EE">
      <w:pPr>
        <w:keepNext/>
        <w:spacing w:after="220" w:line="240" w:lineRule="auto"/>
        <w:jc w:val="both"/>
        <w:outlineLvl w:val="1"/>
        <w:rPr>
          <w:rFonts w:ascii="Arial" w:eastAsia="Times New Roman" w:hAnsi="Arial" w:cs="Times New Roman"/>
          <w:sz w:val="20"/>
          <w:szCs w:val="20"/>
        </w:rPr>
      </w:pPr>
      <w:r>
        <w:rPr>
          <w:rFonts w:ascii="Arial" w:eastAsia="Times New Roman" w:hAnsi="Arial" w:cs="Times New Roman"/>
          <w:i/>
          <w:iCs/>
          <w:sz w:val="20"/>
          <w:szCs w:val="20"/>
        </w:rPr>
        <w:t xml:space="preserve">Bundles and other matters. </w:t>
      </w:r>
    </w:p>
    <w:p w14:paraId="27B313CC" w14:textId="4B4B00A5" w:rsidR="00EA35B2" w:rsidRPr="00045D6E" w:rsidRDefault="0080459D" w:rsidP="00617C77">
      <w:pPr>
        <w:numPr>
          <w:ilvl w:val="2"/>
          <w:numId w:val="2"/>
        </w:numPr>
        <w:spacing w:after="220" w:line="240" w:lineRule="auto"/>
        <w:jc w:val="both"/>
        <w:outlineLvl w:val="1"/>
        <w:rPr>
          <w:rFonts w:ascii="Arial" w:eastAsia="Times New Roman" w:hAnsi="Arial" w:cs="Times New Roman"/>
          <w:sz w:val="20"/>
          <w:szCs w:val="20"/>
        </w:rPr>
      </w:pPr>
      <w:r w:rsidRPr="00045D6E">
        <w:rPr>
          <w:rFonts w:ascii="Arial" w:eastAsia="Times New Roman" w:hAnsi="Arial" w:cs="Times New Roman"/>
          <w:sz w:val="20"/>
          <w:szCs w:val="20"/>
        </w:rPr>
        <w:t xml:space="preserve">New guidance on PDF bundles </w:t>
      </w:r>
      <w:r w:rsidR="00617C77">
        <w:rPr>
          <w:rFonts w:ascii="Arial" w:eastAsia="Times New Roman" w:hAnsi="Arial" w:cs="Times New Roman"/>
          <w:sz w:val="20"/>
          <w:szCs w:val="20"/>
        </w:rPr>
        <w:t xml:space="preserve">preparation is contained in the new edition of the Guide. </w:t>
      </w:r>
      <w:r w:rsidR="00E367CA">
        <w:rPr>
          <w:rFonts w:ascii="Arial" w:eastAsia="Times New Roman" w:hAnsi="Arial" w:cs="Times New Roman"/>
          <w:b/>
          <w:bCs/>
          <w:sz w:val="20"/>
          <w:szCs w:val="20"/>
        </w:rPr>
        <w:t xml:space="preserve"> </w:t>
      </w:r>
    </w:p>
    <w:p w14:paraId="79118848" w14:textId="2AA129FE" w:rsidR="00C47BC6" w:rsidRPr="0014015D" w:rsidRDefault="00E367CA" w:rsidP="00843924">
      <w:pPr>
        <w:numPr>
          <w:ilvl w:val="2"/>
          <w:numId w:val="2"/>
        </w:numPr>
        <w:spacing w:after="220" w:line="240" w:lineRule="auto"/>
        <w:jc w:val="both"/>
        <w:outlineLvl w:val="1"/>
        <w:rPr>
          <w:rFonts w:ascii="Arial" w:eastAsia="Times New Roman" w:hAnsi="Arial" w:cs="Times New Roman"/>
          <w:sz w:val="20"/>
          <w:szCs w:val="20"/>
        </w:rPr>
      </w:pPr>
      <w:r w:rsidRPr="0014015D">
        <w:rPr>
          <w:rFonts w:ascii="Arial" w:eastAsia="Times New Roman" w:hAnsi="Arial" w:cs="Times New Roman"/>
          <w:sz w:val="20"/>
          <w:szCs w:val="20"/>
        </w:rPr>
        <w:t>LB raised the issue of claimants having to apply for a CMC and whether that needed to be a letter or a formal application. The guidance from the listing office is that they were willing to be contacted by email. KE noted that</w:t>
      </w:r>
      <w:r w:rsidR="00C47BC6" w:rsidRPr="0014015D">
        <w:rPr>
          <w:rFonts w:ascii="Arial" w:eastAsia="Times New Roman" w:hAnsi="Arial" w:cs="Times New Roman"/>
          <w:sz w:val="20"/>
          <w:szCs w:val="20"/>
        </w:rPr>
        <w:t xml:space="preserve"> outside London they require an application notice. </w:t>
      </w:r>
      <w:r w:rsidR="00617C77">
        <w:rPr>
          <w:rFonts w:ascii="Arial" w:eastAsia="Times New Roman" w:hAnsi="Arial" w:cs="Times New Roman"/>
          <w:sz w:val="20"/>
          <w:szCs w:val="20"/>
        </w:rPr>
        <w:t xml:space="preserve">HPQ said that listing office guidance should be followed for LCCC cases. </w:t>
      </w:r>
    </w:p>
    <w:p w14:paraId="1AF8E2A9" w14:textId="2AAE0432" w:rsidR="00C47BC6" w:rsidRPr="00045D6E" w:rsidRDefault="00C47BC6" w:rsidP="00045D6E">
      <w:pPr>
        <w:numPr>
          <w:ilvl w:val="2"/>
          <w:numId w:val="2"/>
        </w:numPr>
        <w:spacing w:after="220" w:line="240" w:lineRule="auto"/>
        <w:jc w:val="both"/>
        <w:outlineLvl w:val="1"/>
        <w:rPr>
          <w:rFonts w:ascii="Arial" w:eastAsia="Times New Roman" w:hAnsi="Arial" w:cs="Times New Roman"/>
          <w:sz w:val="20"/>
          <w:szCs w:val="20"/>
        </w:rPr>
      </w:pPr>
      <w:r w:rsidRPr="00045D6E">
        <w:rPr>
          <w:rFonts w:ascii="Arial" w:eastAsia="Times New Roman" w:hAnsi="Arial" w:cs="Times New Roman"/>
          <w:sz w:val="20"/>
          <w:szCs w:val="20"/>
        </w:rPr>
        <w:t>LB</w:t>
      </w:r>
      <w:r w:rsidR="0014015D">
        <w:rPr>
          <w:rFonts w:ascii="Arial" w:eastAsia="Times New Roman" w:hAnsi="Arial" w:cs="Times New Roman"/>
          <w:sz w:val="20"/>
          <w:szCs w:val="20"/>
        </w:rPr>
        <w:t xml:space="preserve"> raised the issue of </w:t>
      </w:r>
      <w:r w:rsidRPr="00045D6E">
        <w:rPr>
          <w:rFonts w:ascii="Arial" w:eastAsia="Times New Roman" w:hAnsi="Arial" w:cs="Times New Roman"/>
          <w:sz w:val="20"/>
          <w:szCs w:val="20"/>
        </w:rPr>
        <w:t>adducing documents in evidence. Should</w:t>
      </w:r>
      <w:r w:rsidR="0014015D">
        <w:rPr>
          <w:rFonts w:ascii="Arial" w:eastAsia="Times New Roman" w:hAnsi="Arial" w:cs="Times New Roman"/>
          <w:sz w:val="20"/>
          <w:szCs w:val="20"/>
        </w:rPr>
        <w:t xml:space="preserve"> the matter</w:t>
      </w:r>
      <w:r w:rsidRPr="00045D6E">
        <w:rPr>
          <w:rFonts w:ascii="Arial" w:eastAsia="Times New Roman" w:hAnsi="Arial" w:cs="Times New Roman"/>
          <w:sz w:val="20"/>
          <w:szCs w:val="20"/>
        </w:rPr>
        <w:t xml:space="preserve"> be raised with the trial judge</w:t>
      </w:r>
      <w:r w:rsidR="0014015D">
        <w:rPr>
          <w:rFonts w:ascii="Arial" w:eastAsia="Times New Roman" w:hAnsi="Arial" w:cs="Times New Roman"/>
          <w:sz w:val="20"/>
          <w:szCs w:val="20"/>
        </w:rPr>
        <w:t xml:space="preserve"> and asked</w:t>
      </w:r>
      <w:r w:rsidRPr="00045D6E">
        <w:rPr>
          <w:rFonts w:ascii="Arial" w:eastAsia="Times New Roman" w:hAnsi="Arial" w:cs="Times New Roman"/>
          <w:sz w:val="20"/>
          <w:szCs w:val="20"/>
        </w:rPr>
        <w:t xml:space="preserve"> how it is going to be done now </w:t>
      </w:r>
      <w:proofErr w:type="gramStart"/>
      <w:r w:rsidRPr="00045D6E">
        <w:rPr>
          <w:rFonts w:ascii="Arial" w:eastAsia="Times New Roman" w:hAnsi="Arial" w:cs="Times New Roman"/>
          <w:sz w:val="20"/>
          <w:szCs w:val="20"/>
        </w:rPr>
        <w:t>in light of</w:t>
      </w:r>
      <w:proofErr w:type="gramEnd"/>
      <w:r w:rsidRPr="00045D6E">
        <w:rPr>
          <w:rFonts w:ascii="Arial" w:eastAsia="Times New Roman" w:hAnsi="Arial" w:cs="Times New Roman"/>
          <w:sz w:val="20"/>
          <w:szCs w:val="20"/>
        </w:rPr>
        <w:t xml:space="preserve"> PD57A. The fact that doc</w:t>
      </w:r>
      <w:r w:rsidR="0014015D">
        <w:rPr>
          <w:rFonts w:ascii="Arial" w:eastAsia="Times New Roman" w:hAnsi="Arial" w:cs="Times New Roman"/>
          <w:sz w:val="20"/>
          <w:szCs w:val="20"/>
        </w:rPr>
        <w:t xml:space="preserve">uments </w:t>
      </w:r>
      <w:r w:rsidRPr="00045D6E">
        <w:rPr>
          <w:rFonts w:ascii="Arial" w:eastAsia="Times New Roman" w:hAnsi="Arial" w:cs="Times New Roman"/>
          <w:sz w:val="20"/>
          <w:szCs w:val="20"/>
        </w:rPr>
        <w:t>are in trial bundles do</w:t>
      </w:r>
      <w:r w:rsidR="002409EE">
        <w:rPr>
          <w:rFonts w:ascii="Arial" w:eastAsia="Times New Roman" w:hAnsi="Arial" w:cs="Times New Roman"/>
          <w:sz w:val="20"/>
          <w:szCs w:val="20"/>
        </w:rPr>
        <w:t xml:space="preserve">es </w:t>
      </w:r>
      <w:r w:rsidRPr="00045D6E">
        <w:rPr>
          <w:rFonts w:ascii="Arial" w:eastAsia="Times New Roman" w:hAnsi="Arial" w:cs="Times New Roman"/>
          <w:sz w:val="20"/>
          <w:szCs w:val="20"/>
        </w:rPr>
        <w:t xml:space="preserve">not mean that they are adduced in evidence. </w:t>
      </w:r>
      <w:r w:rsidR="0014015D">
        <w:rPr>
          <w:rFonts w:ascii="Arial" w:eastAsia="Times New Roman" w:hAnsi="Arial" w:cs="Times New Roman"/>
          <w:sz w:val="20"/>
          <w:szCs w:val="20"/>
        </w:rPr>
        <w:t xml:space="preserve">HPQ explained that the </w:t>
      </w:r>
      <w:r w:rsidR="0014015D">
        <w:rPr>
          <w:rFonts w:ascii="Arial" w:eastAsia="Times New Roman" w:hAnsi="Arial" w:cs="Times New Roman"/>
          <w:sz w:val="20"/>
          <w:szCs w:val="20"/>
        </w:rPr>
        <w:lastRenderedPageBreak/>
        <w:t>Commercial Court Guide s</w:t>
      </w:r>
      <w:r w:rsidRPr="00045D6E">
        <w:rPr>
          <w:rFonts w:ascii="Arial" w:eastAsia="Times New Roman" w:hAnsi="Arial" w:cs="Times New Roman"/>
          <w:sz w:val="20"/>
          <w:szCs w:val="20"/>
        </w:rPr>
        <w:t>ays that the matter should be addressed between the parties and dealt with at first day of trial if not at the pre-trial review. As to the rest of it, the C</w:t>
      </w:r>
      <w:r w:rsidR="0014015D">
        <w:rPr>
          <w:rFonts w:ascii="Arial" w:eastAsia="Times New Roman" w:hAnsi="Arial" w:cs="Times New Roman"/>
          <w:sz w:val="20"/>
          <w:szCs w:val="20"/>
        </w:rPr>
        <w:t xml:space="preserve">ommercial Court Guide </w:t>
      </w:r>
      <w:r w:rsidRPr="00045D6E">
        <w:rPr>
          <w:rFonts w:ascii="Arial" w:eastAsia="Times New Roman" w:hAnsi="Arial" w:cs="Times New Roman"/>
          <w:sz w:val="20"/>
          <w:szCs w:val="20"/>
        </w:rPr>
        <w:t xml:space="preserve">works on the basis that there will be in many cases </w:t>
      </w:r>
      <w:proofErr w:type="gramStart"/>
      <w:r w:rsidRPr="00045D6E">
        <w:rPr>
          <w:rFonts w:ascii="Arial" w:eastAsia="Times New Roman" w:hAnsi="Arial" w:cs="Times New Roman"/>
          <w:sz w:val="20"/>
          <w:szCs w:val="20"/>
        </w:rPr>
        <w:t>an</w:t>
      </w:r>
      <w:proofErr w:type="gramEnd"/>
      <w:r w:rsidRPr="00045D6E">
        <w:rPr>
          <w:rFonts w:ascii="Arial" w:eastAsia="Times New Roman" w:hAnsi="Arial" w:cs="Times New Roman"/>
          <w:sz w:val="20"/>
          <w:szCs w:val="20"/>
        </w:rPr>
        <w:t xml:space="preserve"> advice on evidence. </w:t>
      </w:r>
      <w:r w:rsidR="0014015D">
        <w:rPr>
          <w:rFonts w:ascii="Arial" w:eastAsia="Times New Roman" w:hAnsi="Arial" w:cs="Times New Roman"/>
          <w:sz w:val="20"/>
          <w:szCs w:val="20"/>
        </w:rPr>
        <w:t>He was h</w:t>
      </w:r>
      <w:r w:rsidR="0014015D" w:rsidRPr="00045D6E">
        <w:rPr>
          <w:rFonts w:ascii="Arial" w:eastAsia="Times New Roman" w:hAnsi="Arial" w:cs="Times New Roman"/>
          <w:sz w:val="20"/>
          <w:szCs w:val="20"/>
        </w:rPr>
        <w:t>opeful</w:t>
      </w:r>
      <w:r w:rsidRPr="00045D6E">
        <w:rPr>
          <w:rFonts w:ascii="Arial" w:eastAsia="Times New Roman" w:hAnsi="Arial" w:cs="Times New Roman"/>
          <w:sz w:val="20"/>
          <w:szCs w:val="20"/>
        </w:rPr>
        <w:t xml:space="preserve"> </w:t>
      </w:r>
      <w:r w:rsidR="0014015D">
        <w:rPr>
          <w:rFonts w:ascii="Arial" w:eastAsia="Times New Roman" w:hAnsi="Arial" w:cs="Times New Roman"/>
          <w:sz w:val="20"/>
          <w:szCs w:val="20"/>
        </w:rPr>
        <w:t xml:space="preserve">that </w:t>
      </w:r>
      <w:r w:rsidRPr="00045D6E">
        <w:rPr>
          <w:rFonts w:ascii="Arial" w:eastAsia="Times New Roman" w:hAnsi="Arial" w:cs="Times New Roman"/>
          <w:sz w:val="20"/>
          <w:szCs w:val="20"/>
        </w:rPr>
        <w:t xml:space="preserve">will </w:t>
      </w:r>
      <w:r w:rsidR="0014015D">
        <w:rPr>
          <w:rFonts w:ascii="Arial" w:eastAsia="Times New Roman" w:hAnsi="Arial" w:cs="Times New Roman"/>
          <w:sz w:val="20"/>
          <w:szCs w:val="20"/>
        </w:rPr>
        <w:t xml:space="preserve">not </w:t>
      </w:r>
      <w:r w:rsidRPr="00045D6E">
        <w:rPr>
          <w:rFonts w:ascii="Arial" w:eastAsia="Times New Roman" w:hAnsi="Arial" w:cs="Times New Roman"/>
          <w:sz w:val="20"/>
          <w:szCs w:val="20"/>
        </w:rPr>
        <w:t>be required in LCCC</w:t>
      </w:r>
      <w:r w:rsidR="0014015D">
        <w:rPr>
          <w:rFonts w:ascii="Arial" w:eastAsia="Times New Roman" w:hAnsi="Arial" w:cs="Times New Roman"/>
          <w:sz w:val="20"/>
          <w:szCs w:val="20"/>
        </w:rPr>
        <w:t xml:space="preserve">. However, if there is going to be a debate about it in a given case, maybe there should </w:t>
      </w:r>
      <w:r w:rsidRPr="00045D6E">
        <w:rPr>
          <w:rFonts w:ascii="Arial" w:eastAsia="Times New Roman" w:hAnsi="Arial" w:cs="Times New Roman"/>
          <w:sz w:val="20"/>
          <w:szCs w:val="20"/>
        </w:rPr>
        <w:t xml:space="preserve">be </w:t>
      </w:r>
      <w:proofErr w:type="gramStart"/>
      <w:r w:rsidRPr="00045D6E">
        <w:rPr>
          <w:rFonts w:ascii="Arial" w:eastAsia="Times New Roman" w:hAnsi="Arial" w:cs="Times New Roman"/>
          <w:sz w:val="20"/>
          <w:szCs w:val="20"/>
        </w:rPr>
        <w:t>an</w:t>
      </w:r>
      <w:proofErr w:type="gramEnd"/>
      <w:r w:rsidRPr="00045D6E">
        <w:rPr>
          <w:rFonts w:ascii="Arial" w:eastAsia="Times New Roman" w:hAnsi="Arial" w:cs="Times New Roman"/>
          <w:sz w:val="20"/>
          <w:szCs w:val="20"/>
        </w:rPr>
        <w:t xml:space="preserve"> advice o</w:t>
      </w:r>
      <w:r w:rsidR="0014015D">
        <w:rPr>
          <w:rFonts w:ascii="Arial" w:eastAsia="Times New Roman" w:hAnsi="Arial" w:cs="Times New Roman"/>
          <w:sz w:val="20"/>
          <w:szCs w:val="20"/>
        </w:rPr>
        <w:t>n</w:t>
      </w:r>
      <w:r w:rsidRPr="00045D6E">
        <w:rPr>
          <w:rFonts w:ascii="Arial" w:eastAsia="Times New Roman" w:hAnsi="Arial" w:cs="Times New Roman"/>
          <w:sz w:val="20"/>
          <w:szCs w:val="20"/>
        </w:rPr>
        <w:t xml:space="preserve"> evidence. </w:t>
      </w:r>
    </w:p>
    <w:p w14:paraId="3A376880" w14:textId="6E12D034" w:rsidR="008F03FF" w:rsidRPr="00AC2830" w:rsidRDefault="00AC2830" w:rsidP="00AC2830">
      <w:pPr>
        <w:numPr>
          <w:ilvl w:val="2"/>
          <w:numId w:val="2"/>
        </w:numPr>
        <w:spacing w:after="220" w:line="240" w:lineRule="auto"/>
        <w:jc w:val="both"/>
        <w:outlineLvl w:val="1"/>
        <w:rPr>
          <w:rFonts w:ascii="Arial" w:eastAsia="Times New Roman" w:hAnsi="Arial" w:cs="Times New Roman"/>
          <w:sz w:val="20"/>
          <w:szCs w:val="20"/>
        </w:rPr>
      </w:pPr>
      <w:r w:rsidRPr="00AC2830">
        <w:rPr>
          <w:rFonts w:ascii="Arial" w:eastAsia="Times New Roman" w:hAnsi="Arial" w:cs="Times New Roman"/>
          <w:sz w:val="20"/>
          <w:szCs w:val="20"/>
        </w:rPr>
        <w:t>VJ</w:t>
      </w:r>
      <w:r w:rsidRPr="00086EA2">
        <w:rPr>
          <w:rFonts w:ascii="Arial" w:eastAsia="Times New Roman" w:hAnsi="Arial" w:cs="Times New Roman"/>
          <w:sz w:val="20"/>
          <w:szCs w:val="20"/>
        </w:rPr>
        <w:t xml:space="preserve"> queried whether there was a need or benefit in reproducing Part 58 and its PD as an appendix in the Guide</w:t>
      </w:r>
      <w:r w:rsidRPr="00AC2830">
        <w:rPr>
          <w:rFonts w:ascii="Arial" w:eastAsia="Times New Roman" w:hAnsi="Arial" w:cs="Times New Roman"/>
          <w:sz w:val="20"/>
          <w:szCs w:val="20"/>
        </w:rPr>
        <w:t xml:space="preserve">. She noted that the appendix was not updated as and when any amendments were made to those CPR provisions, they might contradict and mislead and that perhaps the safer way was to alert practitioners to the need to be familiar with and comply with those CPR provisions rather than seek to replicate them in the Guide. VJ also raised an issue related to timing of implementation vs publication of the proposed reforms, given (increasingly) limited time for practitioners to familiarise themselves and potentially change their practice in time for that implementation date. </w:t>
      </w:r>
      <w:r w:rsidR="0014015D" w:rsidRPr="00AC2830">
        <w:rPr>
          <w:rFonts w:ascii="Arial" w:eastAsia="Times New Roman" w:hAnsi="Arial" w:cs="Times New Roman"/>
          <w:sz w:val="20"/>
          <w:szCs w:val="20"/>
        </w:rPr>
        <w:t xml:space="preserve">MT explained that, </w:t>
      </w:r>
      <w:r w:rsidR="008F03FF" w:rsidRPr="00AC2830">
        <w:rPr>
          <w:rFonts w:ascii="Arial" w:eastAsia="Times New Roman" w:hAnsi="Arial" w:cs="Times New Roman"/>
          <w:sz w:val="20"/>
          <w:szCs w:val="20"/>
        </w:rPr>
        <w:t>in terms of publicising</w:t>
      </w:r>
      <w:r w:rsidR="0014015D" w:rsidRPr="00AC2830">
        <w:rPr>
          <w:rFonts w:ascii="Arial" w:eastAsia="Times New Roman" w:hAnsi="Arial" w:cs="Times New Roman"/>
          <w:sz w:val="20"/>
          <w:szCs w:val="20"/>
        </w:rPr>
        <w:t xml:space="preserve">, </w:t>
      </w:r>
      <w:r w:rsidR="008F03FF" w:rsidRPr="00AC2830">
        <w:rPr>
          <w:rFonts w:ascii="Arial" w:eastAsia="Times New Roman" w:hAnsi="Arial" w:cs="Times New Roman"/>
          <w:sz w:val="20"/>
          <w:szCs w:val="20"/>
        </w:rPr>
        <w:t xml:space="preserve">if the implementation date is 1 </w:t>
      </w:r>
      <w:r w:rsidR="002409EE" w:rsidRPr="00AC2830">
        <w:rPr>
          <w:rFonts w:ascii="Arial" w:eastAsia="Times New Roman" w:hAnsi="Arial" w:cs="Times New Roman"/>
          <w:sz w:val="20"/>
          <w:szCs w:val="20"/>
        </w:rPr>
        <w:t xml:space="preserve">January, it </w:t>
      </w:r>
      <w:r w:rsidR="0014015D" w:rsidRPr="00AC2830">
        <w:rPr>
          <w:rFonts w:ascii="Arial" w:eastAsia="Times New Roman" w:hAnsi="Arial" w:cs="Times New Roman"/>
          <w:sz w:val="20"/>
          <w:szCs w:val="20"/>
        </w:rPr>
        <w:t xml:space="preserve">is for </w:t>
      </w:r>
      <w:r w:rsidR="008F03FF" w:rsidRPr="00AC2830">
        <w:rPr>
          <w:rFonts w:ascii="Arial" w:eastAsia="Times New Roman" w:hAnsi="Arial" w:cs="Times New Roman"/>
          <w:sz w:val="20"/>
          <w:szCs w:val="20"/>
        </w:rPr>
        <w:t xml:space="preserve">practitioners to familiarise themselves with the new arrangements. </w:t>
      </w:r>
    </w:p>
    <w:p w14:paraId="4F543BEB" w14:textId="7A43AD97" w:rsidR="00586AAD" w:rsidRPr="00B20CA8" w:rsidRDefault="00586AAD" w:rsidP="00B20CA8">
      <w:pPr>
        <w:numPr>
          <w:ilvl w:val="2"/>
          <w:numId w:val="2"/>
        </w:numPr>
        <w:spacing w:after="220" w:line="240" w:lineRule="auto"/>
        <w:jc w:val="both"/>
        <w:outlineLvl w:val="1"/>
        <w:rPr>
          <w:rFonts w:ascii="Arial" w:eastAsia="Times New Roman" w:hAnsi="Arial" w:cs="Times New Roman"/>
          <w:sz w:val="20"/>
          <w:szCs w:val="20"/>
        </w:rPr>
      </w:pPr>
      <w:r w:rsidRPr="00045D6E">
        <w:rPr>
          <w:rFonts w:ascii="Arial" w:eastAsia="Times New Roman" w:hAnsi="Arial" w:cs="Times New Roman"/>
          <w:sz w:val="20"/>
          <w:szCs w:val="20"/>
        </w:rPr>
        <w:t xml:space="preserve">KE </w:t>
      </w:r>
      <w:r w:rsidR="0014015D">
        <w:rPr>
          <w:rFonts w:ascii="Arial" w:eastAsia="Times New Roman" w:hAnsi="Arial" w:cs="Times New Roman"/>
          <w:sz w:val="20"/>
          <w:szCs w:val="20"/>
        </w:rPr>
        <w:t xml:space="preserve">asked for confirmation that parties </w:t>
      </w:r>
      <w:r w:rsidRPr="00045D6E">
        <w:rPr>
          <w:rFonts w:ascii="Arial" w:eastAsia="Times New Roman" w:hAnsi="Arial" w:cs="Times New Roman"/>
          <w:sz w:val="20"/>
          <w:szCs w:val="20"/>
        </w:rPr>
        <w:t xml:space="preserve">should be following </w:t>
      </w:r>
      <w:r w:rsidR="0014015D">
        <w:rPr>
          <w:rFonts w:ascii="Arial" w:eastAsia="Times New Roman" w:hAnsi="Arial" w:cs="Times New Roman"/>
          <w:sz w:val="20"/>
          <w:szCs w:val="20"/>
        </w:rPr>
        <w:t>l</w:t>
      </w:r>
      <w:r w:rsidRPr="00045D6E">
        <w:rPr>
          <w:rFonts w:ascii="Arial" w:eastAsia="Times New Roman" w:hAnsi="Arial" w:cs="Times New Roman"/>
          <w:sz w:val="20"/>
          <w:szCs w:val="20"/>
        </w:rPr>
        <w:t xml:space="preserve">ist of common grounds and issues </w:t>
      </w:r>
      <w:r w:rsidR="0014015D">
        <w:rPr>
          <w:rFonts w:ascii="Arial" w:eastAsia="Times New Roman" w:hAnsi="Arial" w:cs="Times New Roman"/>
          <w:sz w:val="20"/>
          <w:szCs w:val="20"/>
        </w:rPr>
        <w:t xml:space="preserve">prescribed by the Commercial Court Guide. </w:t>
      </w:r>
      <w:r w:rsidRPr="00045D6E">
        <w:rPr>
          <w:rFonts w:ascii="Arial" w:eastAsia="Times New Roman" w:hAnsi="Arial" w:cs="Times New Roman"/>
          <w:sz w:val="20"/>
          <w:szCs w:val="20"/>
        </w:rPr>
        <w:t xml:space="preserve"> H</w:t>
      </w:r>
      <w:r w:rsidR="00214C5E">
        <w:rPr>
          <w:rFonts w:ascii="Arial" w:eastAsia="Times New Roman" w:hAnsi="Arial" w:cs="Times New Roman"/>
          <w:sz w:val="20"/>
          <w:szCs w:val="20"/>
        </w:rPr>
        <w:t xml:space="preserve">PQ </w:t>
      </w:r>
      <w:r w:rsidRPr="00045D6E">
        <w:rPr>
          <w:rFonts w:ascii="Arial" w:eastAsia="Times New Roman" w:hAnsi="Arial" w:cs="Times New Roman"/>
          <w:sz w:val="20"/>
          <w:szCs w:val="20"/>
        </w:rPr>
        <w:t xml:space="preserve">confirmed that this is correct. </w:t>
      </w:r>
    </w:p>
    <w:p w14:paraId="1C2CC482" w14:textId="721DBE22" w:rsidR="00586AAD" w:rsidRPr="003D31D8" w:rsidRDefault="00586AAD" w:rsidP="003D31D8">
      <w:pPr>
        <w:pStyle w:val="MacLevel1"/>
        <w:numPr>
          <w:ilvl w:val="1"/>
          <w:numId w:val="2"/>
        </w:numPr>
        <w:outlineLvl w:val="1"/>
        <w:rPr>
          <w:b/>
          <w:bCs/>
        </w:rPr>
      </w:pPr>
      <w:r w:rsidRPr="003D31D8">
        <w:rPr>
          <w:b/>
          <w:bCs/>
        </w:rPr>
        <w:t>Remote hearings</w:t>
      </w:r>
      <w:r w:rsidR="003D31D8">
        <w:rPr>
          <w:b/>
          <w:bCs/>
        </w:rPr>
        <w:t xml:space="preserve"> - </w:t>
      </w:r>
      <w:r w:rsidRPr="003D31D8">
        <w:rPr>
          <w:b/>
          <w:bCs/>
        </w:rPr>
        <w:t xml:space="preserve">current policy </w:t>
      </w:r>
    </w:p>
    <w:p w14:paraId="5A357F63" w14:textId="444FAA6B" w:rsidR="00586AAD" w:rsidRDefault="00586AAD" w:rsidP="00045D6E">
      <w:pPr>
        <w:numPr>
          <w:ilvl w:val="2"/>
          <w:numId w:val="2"/>
        </w:numPr>
        <w:spacing w:after="220" w:line="240" w:lineRule="auto"/>
        <w:jc w:val="both"/>
        <w:outlineLvl w:val="1"/>
        <w:rPr>
          <w:rFonts w:ascii="Arial" w:eastAsia="Times New Roman" w:hAnsi="Arial" w:cs="Times New Roman"/>
          <w:sz w:val="20"/>
          <w:szCs w:val="20"/>
        </w:rPr>
      </w:pPr>
      <w:r w:rsidRPr="00045D6E">
        <w:rPr>
          <w:rFonts w:ascii="Arial" w:eastAsia="Times New Roman" w:hAnsi="Arial" w:cs="Times New Roman"/>
          <w:sz w:val="20"/>
          <w:szCs w:val="20"/>
        </w:rPr>
        <w:t xml:space="preserve">Current policy </w:t>
      </w:r>
      <w:r w:rsidR="003D31D8">
        <w:rPr>
          <w:rFonts w:ascii="Arial" w:eastAsia="Times New Roman" w:hAnsi="Arial" w:cs="Times New Roman"/>
          <w:sz w:val="20"/>
          <w:szCs w:val="20"/>
        </w:rPr>
        <w:t xml:space="preserve">is </w:t>
      </w:r>
      <w:r w:rsidRPr="00045D6E">
        <w:rPr>
          <w:rFonts w:ascii="Arial" w:eastAsia="Times New Roman" w:hAnsi="Arial" w:cs="Times New Roman"/>
          <w:sz w:val="20"/>
          <w:szCs w:val="20"/>
        </w:rPr>
        <w:t>half day or less default is remote</w:t>
      </w:r>
      <w:r w:rsidR="003D31D8">
        <w:rPr>
          <w:rFonts w:ascii="Arial" w:eastAsia="Times New Roman" w:hAnsi="Arial" w:cs="Times New Roman"/>
          <w:sz w:val="20"/>
          <w:szCs w:val="20"/>
        </w:rPr>
        <w:t>. A</w:t>
      </w:r>
      <w:r w:rsidRPr="00045D6E">
        <w:rPr>
          <w:rFonts w:ascii="Arial" w:eastAsia="Times New Roman" w:hAnsi="Arial" w:cs="Times New Roman"/>
          <w:sz w:val="20"/>
          <w:szCs w:val="20"/>
        </w:rPr>
        <w:t>nything more than half a day you</w:t>
      </w:r>
      <w:r w:rsidR="00B20CA8">
        <w:rPr>
          <w:rFonts w:ascii="Arial" w:eastAsia="Times New Roman" w:hAnsi="Arial" w:cs="Times New Roman"/>
          <w:sz w:val="20"/>
          <w:szCs w:val="20"/>
        </w:rPr>
        <w:t xml:space="preserve"> will</w:t>
      </w:r>
      <w:r w:rsidRPr="00045D6E">
        <w:rPr>
          <w:rFonts w:ascii="Arial" w:eastAsia="Times New Roman" w:hAnsi="Arial" w:cs="Times New Roman"/>
          <w:sz w:val="20"/>
          <w:szCs w:val="20"/>
        </w:rPr>
        <w:t xml:space="preserve"> have to justify a remote hearing. </w:t>
      </w:r>
    </w:p>
    <w:p w14:paraId="11C8EBB7" w14:textId="1FEF9160" w:rsidR="003D31D8" w:rsidRPr="003D31D8" w:rsidRDefault="003D31D8" w:rsidP="003D31D8">
      <w:pPr>
        <w:pStyle w:val="MacLevel1"/>
        <w:numPr>
          <w:ilvl w:val="1"/>
          <w:numId w:val="2"/>
        </w:numPr>
        <w:outlineLvl w:val="1"/>
      </w:pPr>
      <w:r>
        <w:rPr>
          <w:b/>
          <w:bCs/>
        </w:rPr>
        <w:t xml:space="preserve">AOB </w:t>
      </w:r>
    </w:p>
    <w:p w14:paraId="64583663" w14:textId="723A73B2" w:rsidR="003D31D8" w:rsidRPr="00045D6E" w:rsidRDefault="003D31D8" w:rsidP="00045D6E">
      <w:pPr>
        <w:numPr>
          <w:ilvl w:val="2"/>
          <w:numId w:val="2"/>
        </w:numPr>
        <w:spacing w:after="220" w:line="240" w:lineRule="auto"/>
        <w:jc w:val="both"/>
        <w:outlineLvl w:val="1"/>
        <w:rPr>
          <w:rFonts w:ascii="Arial" w:eastAsia="Times New Roman" w:hAnsi="Arial" w:cs="Times New Roman"/>
          <w:sz w:val="20"/>
          <w:szCs w:val="20"/>
        </w:rPr>
      </w:pPr>
      <w:r>
        <w:rPr>
          <w:rFonts w:ascii="Arial" w:eastAsia="Times New Roman" w:hAnsi="Arial" w:cs="Times New Roman"/>
          <w:sz w:val="20"/>
          <w:szCs w:val="20"/>
        </w:rPr>
        <w:t xml:space="preserve">[None arising] </w:t>
      </w:r>
    </w:p>
    <w:sectPr w:rsidR="003D31D8" w:rsidRPr="00045D6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503FE" w14:textId="77777777" w:rsidR="003D31D8" w:rsidRDefault="003D31D8" w:rsidP="003D31D8">
      <w:pPr>
        <w:spacing w:after="0" w:line="240" w:lineRule="auto"/>
      </w:pPr>
      <w:r>
        <w:separator/>
      </w:r>
    </w:p>
  </w:endnote>
  <w:endnote w:type="continuationSeparator" w:id="0">
    <w:p w14:paraId="003B8181" w14:textId="77777777" w:rsidR="003D31D8" w:rsidRDefault="003D31D8" w:rsidP="003D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416069"/>
      <w:docPartObj>
        <w:docPartGallery w:val="Page Numbers (Bottom of Page)"/>
        <w:docPartUnique/>
      </w:docPartObj>
    </w:sdtPr>
    <w:sdtEndPr>
      <w:rPr>
        <w:noProof/>
      </w:rPr>
    </w:sdtEndPr>
    <w:sdtContent>
      <w:p w14:paraId="464EB472" w14:textId="7F9E879C" w:rsidR="003D31D8" w:rsidRDefault="003D31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9C65AE" w14:textId="77777777" w:rsidR="003D31D8" w:rsidRDefault="003D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F0CB6" w14:textId="77777777" w:rsidR="003D31D8" w:rsidRDefault="003D31D8" w:rsidP="003D31D8">
      <w:pPr>
        <w:spacing w:after="0" w:line="240" w:lineRule="auto"/>
      </w:pPr>
      <w:r>
        <w:separator/>
      </w:r>
    </w:p>
  </w:footnote>
  <w:footnote w:type="continuationSeparator" w:id="0">
    <w:p w14:paraId="68F75AC2" w14:textId="77777777" w:rsidR="003D31D8" w:rsidRDefault="003D31D8" w:rsidP="003D3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62B5F"/>
    <w:multiLevelType w:val="multilevel"/>
    <w:tmpl w:val="6CEAD8BC"/>
    <w:numStyleLink w:val="MacLevelsCustomListStyle"/>
  </w:abstractNum>
  <w:abstractNum w:abstractNumId="1" w15:restartNumberingAfterBreak="0">
    <w:nsid w:val="1C2D2DA6"/>
    <w:multiLevelType w:val="hybridMultilevel"/>
    <w:tmpl w:val="F1BEBC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A1FE4"/>
    <w:multiLevelType w:val="multilevel"/>
    <w:tmpl w:val="6C986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5705FB"/>
    <w:multiLevelType w:val="multilevel"/>
    <w:tmpl w:val="6CEAD8BC"/>
    <w:styleLink w:val="MacLevelsCustomListStyle"/>
    <w:lvl w:ilvl="0">
      <w:start w:val="1"/>
      <w:numFmt w:val="none"/>
      <w:pStyle w:val="SectionHeadingTOC"/>
      <w:suff w:val="nothing"/>
      <w:lvlText w:val="%1"/>
      <w:lvlJc w:val="center"/>
      <w:pPr>
        <w:ind w:left="0" w:firstLine="0"/>
      </w:pPr>
      <w:rPr>
        <w:rFonts w:ascii="Arial" w:hAnsi="Arial" w:cs="Times New Roman" w:hint="default"/>
        <w:b w:val="0"/>
        <w:i w:val="0"/>
        <w:sz w:val="20"/>
      </w:rPr>
    </w:lvl>
    <w:lvl w:ilvl="1">
      <w:start w:val="1"/>
      <w:numFmt w:val="decimal"/>
      <w:pStyle w:val="MacLevel1"/>
      <w:lvlText w:val="%1%2"/>
      <w:lvlJc w:val="left"/>
      <w:pPr>
        <w:tabs>
          <w:tab w:val="num" w:pos="1006"/>
        </w:tabs>
        <w:ind w:left="1006" w:hanging="864"/>
      </w:pPr>
      <w:rPr>
        <w:b w:val="0"/>
        <w:i w:val="0"/>
        <w:sz w:val="20"/>
      </w:rPr>
    </w:lvl>
    <w:lvl w:ilvl="2">
      <w:start w:val="1"/>
      <w:numFmt w:val="decimal"/>
      <w:pStyle w:val="MacLevel2"/>
      <w:lvlText w:val="%2.%3"/>
      <w:lvlJc w:val="left"/>
      <w:pPr>
        <w:tabs>
          <w:tab w:val="num" w:pos="864"/>
        </w:tabs>
        <w:ind w:left="864" w:hanging="864"/>
      </w:pPr>
      <w:rPr>
        <w:b w:val="0"/>
        <w:i w:val="0"/>
      </w:rPr>
    </w:lvl>
    <w:lvl w:ilvl="3">
      <w:start w:val="1"/>
      <w:numFmt w:val="decimal"/>
      <w:pStyle w:val="MacLevel3"/>
      <w:lvlText w:val="%2.%3.%4"/>
      <w:lvlJc w:val="left"/>
      <w:pPr>
        <w:tabs>
          <w:tab w:val="num" w:pos="2016"/>
        </w:tabs>
        <w:ind w:left="2016" w:hanging="1152"/>
      </w:pPr>
      <w:rPr>
        <w:b w:val="0"/>
        <w:i w:val="0"/>
      </w:rPr>
    </w:lvl>
    <w:lvl w:ilvl="4">
      <w:start w:val="1"/>
      <w:numFmt w:val="decimal"/>
      <w:pStyle w:val="MacLevel4"/>
      <w:lvlText w:val="%2.%3.%4.%5"/>
      <w:lvlJc w:val="left"/>
      <w:pPr>
        <w:tabs>
          <w:tab w:val="num" w:pos="3456"/>
        </w:tabs>
        <w:ind w:left="3456" w:hanging="1440"/>
      </w:pPr>
      <w:rPr>
        <w:b w:val="0"/>
        <w:i w:val="0"/>
      </w:rPr>
    </w:lvl>
    <w:lvl w:ilvl="5">
      <w:start w:val="1"/>
      <w:numFmt w:val="lowerRoman"/>
      <w:pStyle w:val="MacLevel5"/>
      <w:lvlText w:val="(%6)"/>
      <w:lvlJc w:val="left"/>
      <w:pPr>
        <w:tabs>
          <w:tab w:val="num" w:pos="4032"/>
        </w:tabs>
        <w:ind w:left="4032" w:hanging="576"/>
      </w:pPr>
      <w:rPr>
        <w:b w:val="0"/>
        <w:i w:val="0"/>
      </w:rPr>
    </w:lvl>
    <w:lvl w:ilvl="6">
      <w:start w:val="1"/>
      <w:numFmt w:val="lowerLetter"/>
      <w:pStyle w:val="MacLevel6"/>
      <w:lvlText w:val="(%7)"/>
      <w:lvlJc w:val="left"/>
      <w:pPr>
        <w:tabs>
          <w:tab w:val="num" w:pos="4464"/>
        </w:tabs>
        <w:ind w:left="4464" w:hanging="432"/>
      </w:pPr>
      <w:rPr>
        <w:b w:val="0"/>
        <w:i w:val="0"/>
        <w:color w:val="auto"/>
      </w:rPr>
    </w:lvl>
    <w:lvl w:ilvl="7">
      <w:start w:val="1"/>
      <w:numFmt w:val="bullet"/>
      <w:pStyle w:val="MacLevel7"/>
      <w:lvlText w:val=""/>
      <w:lvlJc w:val="left"/>
      <w:pPr>
        <w:tabs>
          <w:tab w:val="num" w:pos="4752"/>
        </w:tabs>
        <w:ind w:left="4752" w:hanging="288"/>
      </w:pPr>
      <w:rPr>
        <w:rFonts w:ascii="Symbol" w:hAnsi="Symbol" w:hint="default"/>
        <w:b w:val="0"/>
        <w:i w:val="0"/>
        <w:color w:val="auto"/>
      </w:rPr>
    </w:lvl>
    <w:lvl w:ilvl="8">
      <w:start w:val="1"/>
      <w:numFmt w:val="bullet"/>
      <w:pStyle w:val="MacLevel8"/>
      <w:lvlText w:val=""/>
      <w:lvlJc w:val="left"/>
      <w:pPr>
        <w:tabs>
          <w:tab w:val="num" w:pos="5040"/>
        </w:tabs>
        <w:ind w:left="5040" w:hanging="288"/>
      </w:pPr>
      <w:rPr>
        <w:rFonts w:ascii="Symbol" w:hAnsi="Symbol" w:hint="default"/>
        <w:b w:val="0"/>
        <w:i w:val="0"/>
        <w:color w:val="auto"/>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D0"/>
    <w:rsid w:val="0002314B"/>
    <w:rsid w:val="00045D6E"/>
    <w:rsid w:val="0006401A"/>
    <w:rsid w:val="00086EA2"/>
    <w:rsid w:val="00115DAE"/>
    <w:rsid w:val="0014015D"/>
    <w:rsid w:val="001B3229"/>
    <w:rsid w:val="00214C5E"/>
    <w:rsid w:val="002409EE"/>
    <w:rsid w:val="002600EF"/>
    <w:rsid w:val="00383AC3"/>
    <w:rsid w:val="003D31D8"/>
    <w:rsid w:val="00484FE5"/>
    <w:rsid w:val="004910DD"/>
    <w:rsid w:val="004E33EE"/>
    <w:rsid w:val="00526D35"/>
    <w:rsid w:val="00586AAD"/>
    <w:rsid w:val="00617C77"/>
    <w:rsid w:val="00644D96"/>
    <w:rsid w:val="00662BAD"/>
    <w:rsid w:val="006B6942"/>
    <w:rsid w:val="00711840"/>
    <w:rsid w:val="00765837"/>
    <w:rsid w:val="00791847"/>
    <w:rsid w:val="00802566"/>
    <w:rsid w:val="0080459D"/>
    <w:rsid w:val="00806EA4"/>
    <w:rsid w:val="0087108C"/>
    <w:rsid w:val="0088037F"/>
    <w:rsid w:val="00894208"/>
    <w:rsid w:val="008F03FF"/>
    <w:rsid w:val="0092006B"/>
    <w:rsid w:val="00A515FF"/>
    <w:rsid w:val="00A85FFD"/>
    <w:rsid w:val="00AA0BA8"/>
    <w:rsid w:val="00AC2830"/>
    <w:rsid w:val="00AF63D0"/>
    <w:rsid w:val="00B20CA8"/>
    <w:rsid w:val="00C041B6"/>
    <w:rsid w:val="00C47BC6"/>
    <w:rsid w:val="00C93D0F"/>
    <w:rsid w:val="00D6367D"/>
    <w:rsid w:val="00DA5EE6"/>
    <w:rsid w:val="00DE05D7"/>
    <w:rsid w:val="00E27447"/>
    <w:rsid w:val="00E367CA"/>
    <w:rsid w:val="00EA35B2"/>
    <w:rsid w:val="00ED7A09"/>
    <w:rsid w:val="00F66A7D"/>
    <w:rsid w:val="00F74B9B"/>
    <w:rsid w:val="00FB73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996C"/>
  <w15:chartTrackingRefBased/>
  <w15:docId w15:val="{C400B9CF-996E-4351-B6E3-FE294C53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5FFD"/>
    <w:rPr>
      <w:sz w:val="16"/>
      <w:szCs w:val="16"/>
    </w:rPr>
  </w:style>
  <w:style w:type="paragraph" w:styleId="CommentText">
    <w:name w:val="annotation text"/>
    <w:basedOn w:val="Normal"/>
    <w:link w:val="CommentTextChar"/>
    <w:uiPriority w:val="99"/>
    <w:unhideWhenUsed/>
    <w:rsid w:val="00A85FFD"/>
    <w:pPr>
      <w:spacing w:line="240" w:lineRule="auto"/>
    </w:pPr>
    <w:rPr>
      <w:sz w:val="20"/>
      <w:szCs w:val="20"/>
    </w:rPr>
  </w:style>
  <w:style w:type="character" w:customStyle="1" w:styleId="CommentTextChar">
    <w:name w:val="Comment Text Char"/>
    <w:basedOn w:val="DefaultParagraphFont"/>
    <w:link w:val="CommentText"/>
    <w:uiPriority w:val="99"/>
    <w:rsid w:val="00A85FFD"/>
    <w:rPr>
      <w:sz w:val="20"/>
      <w:szCs w:val="20"/>
    </w:rPr>
  </w:style>
  <w:style w:type="paragraph" w:styleId="CommentSubject">
    <w:name w:val="annotation subject"/>
    <w:basedOn w:val="CommentText"/>
    <w:next w:val="CommentText"/>
    <w:link w:val="CommentSubjectChar"/>
    <w:uiPriority w:val="99"/>
    <w:semiHidden/>
    <w:unhideWhenUsed/>
    <w:rsid w:val="00A85FFD"/>
    <w:rPr>
      <w:b/>
      <w:bCs/>
    </w:rPr>
  </w:style>
  <w:style w:type="character" w:customStyle="1" w:styleId="CommentSubjectChar">
    <w:name w:val="Comment Subject Char"/>
    <w:basedOn w:val="CommentTextChar"/>
    <w:link w:val="CommentSubject"/>
    <w:uiPriority w:val="99"/>
    <w:semiHidden/>
    <w:rsid w:val="00A85FFD"/>
    <w:rPr>
      <w:b/>
      <w:bCs/>
      <w:sz w:val="20"/>
      <w:szCs w:val="20"/>
    </w:rPr>
  </w:style>
  <w:style w:type="paragraph" w:customStyle="1" w:styleId="MacLevel1">
    <w:name w:val="Mac Level 1"/>
    <w:basedOn w:val="Normal"/>
    <w:next w:val="Normal"/>
    <w:qFormat/>
    <w:rsid w:val="00045D6E"/>
    <w:pPr>
      <w:numPr>
        <w:ilvl w:val="1"/>
        <w:numId w:val="3"/>
      </w:numPr>
      <w:tabs>
        <w:tab w:val="num" w:pos="864"/>
      </w:tabs>
      <w:spacing w:after="220" w:line="240" w:lineRule="auto"/>
      <w:ind w:left="864"/>
      <w:jc w:val="both"/>
      <w:outlineLvl w:val="0"/>
    </w:pPr>
    <w:rPr>
      <w:rFonts w:ascii="Arial" w:eastAsia="Times New Roman" w:hAnsi="Arial" w:cs="Times New Roman"/>
      <w:sz w:val="20"/>
      <w:szCs w:val="20"/>
    </w:rPr>
  </w:style>
  <w:style w:type="paragraph" w:customStyle="1" w:styleId="MacLevel2">
    <w:name w:val="Mac Level 2"/>
    <w:basedOn w:val="Normal"/>
    <w:next w:val="Normal"/>
    <w:qFormat/>
    <w:rsid w:val="00045D6E"/>
    <w:pPr>
      <w:numPr>
        <w:ilvl w:val="2"/>
        <w:numId w:val="3"/>
      </w:numPr>
      <w:spacing w:after="220" w:line="240" w:lineRule="auto"/>
      <w:jc w:val="both"/>
      <w:outlineLvl w:val="1"/>
    </w:pPr>
    <w:rPr>
      <w:rFonts w:ascii="Arial" w:eastAsia="Times New Roman" w:hAnsi="Arial" w:cs="Times New Roman"/>
      <w:sz w:val="20"/>
      <w:szCs w:val="20"/>
    </w:rPr>
  </w:style>
  <w:style w:type="paragraph" w:customStyle="1" w:styleId="MacLevel3">
    <w:name w:val="Mac Level 3"/>
    <w:basedOn w:val="Normal"/>
    <w:next w:val="Normal"/>
    <w:qFormat/>
    <w:rsid w:val="00045D6E"/>
    <w:pPr>
      <w:numPr>
        <w:ilvl w:val="3"/>
        <w:numId w:val="3"/>
      </w:numPr>
      <w:spacing w:after="220" w:line="240" w:lineRule="auto"/>
      <w:jc w:val="both"/>
      <w:outlineLvl w:val="2"/>
    </w:pPr>
    <w:rPr>
      <w:rFonts w:ascii="Arial" w:eastAsia="Times New Roman" w:hAnsi="Arial" w:cs="Times New Roman"/>
      <w:sz w:val="20"/>
      <w:szCs w:val="20"/>
    </w:rPr>
  </w:style>
  <w:style w:type="paragraph" w:customStyle="1" w:styleId="MacLevel4">
    <w:name w:val="Mac Level 4"/>
    <w:basedOn w:val="Normal"/>
    <w:next w:val="Normal"/>
    <w:qFormat/>
    <w:rsid w:val="00045D6E"/>
    <w:pPr>
      <w:numPr>
        <w:ilvl w:val="4"/>
        <w:numId w:val="3"/>
      </w:numPr>
      <w:spacing w:after="220" w:line="240" w:lineRule="auto"/>
      <w:jc w:val="both"/>
      <w:outlineLvl w:val="3"/>
    </w:pPr>
    <w:rPr>
      <w:rFonts w:ascii="Arial" w:eastAsia="Times New Roman" w:hAnsi="Arial" w:cs="Times New Roman"/>
      <w:sz w:val="20"/>
      <w:szCs w:val="20"/>
    </w:rPr>
  </w:style>
  <w:style w:type="paragraph" w:customStyle="1" w:styleId="MacLevel5">
    <w:name w:val="Mac Level 5"/>
    <w:basedOn w:val="Normal"/>
    <w:next w:val="Normal"/>
    <w:qFormat/>
    <w:rsid w:val="00045D6E"/>
    <w:pPr>
      <w:numPr>
        <w:ilvl w:val="5"/>
        <w:numId w:val="3"/>
      </w:numPr>
      <w:spacing w:after="220" w:line="240" w:lineRule="auto"/>
      <w:jc w:val="both"/>
      <w:outlineLvl w:val="4"/>
    </w:pPr>
    <w:rPr>
      <w:rFonts w:ascii="Arial" w:eastAsia="Times New Roman" w:hAnsi="Arial" w:cs="Times New Roman"/>
      <w:sz w:val="20"/>
      <w:szCs w:val="20"/>
    </w:rPr>
  </w:style>
  <w:style w:type="paragraph" w:customStyle="1" w:styleId="MacLevel6">
    <w:name w:val="Mac Level 6"/>
    <w:basedOn w:val="Normal"/>
    <w:next w:val="Normal"/>
    <w:qFormat/>
    <w:rsid w:val="00045D6E"/>
    <w:pPr>
      <w:numPr>
        <w:ilvl w:val="6"/>
        <w:numId w:val="3"/>
      </w:numPr>
      <w:spacing w:after="220" w:line="240" w:lineRule="auto"/>
      <w:jc w:val="both"/>
      <w:outlineLvl w:val="5"/>
    </w:pPr>
    <w:rPr>
      <w:rFonts w:ascii="Arial" w:eastAsia="Times New Roman" w:hAnsi="Arial" w:cs="Times New Roman"/>
      <w:sz w:val="20"/>
      <w:szCs w:val="20"/>
    </w:rPr>
  </w:style>
  <w:style w:type="paragraph" w:customStyle="1" w:styleId="MacLevel7">
    <w:name w:val="Mac Level 7"/>
    <w:basedOn w:val="Normal"/>
    <w:next w:val="Normal"/>
    <w:qFormat/>
    <w:rsid w:val="00045D6E"/>
    <w:pPr>
      <w:numPr>
        <w:ilvl w:val="7"/>
        <w:numId w:val="3"/>
      </w:numPr>
      <w:spacing w:after="220" w:line="240" w:lineRule="auto"/>
      <w:jc w:val="both"/>
      <w:outlineLvl w:val="6"/>
    </w:pPr>
    <w:rPr>
      <w:rFonts w:ascii="Arial" w:eastAsia="Times New Roman" w:hAnsi="Arial" w:cs="Times New Roman"/>
      <w:sz w:val="20"/>
      <w:szCs w:val="20"/>
    </w:rPr>
  </w:style>
  <w:style w:type="paragraph" w:customStyle="1" w:styleId="MacLevel8">
    <w:name w:val="Mac Level 8"/>
    <w:basedOn w:val="Normal"/>
    <w:next w:val="Normal"/>
    <w:qFormat/>
    <w:rsid w:val="00045D6E"/>
    <w:pPr>
      <w:numPr>
        <w:ilvl w:val="8"/>
        <w:numId w:val="3"/>
      </w:numPr>
      <w:spacing w:after="220" w:line="240" w:lineRule="auto"/>
      <w:jc w:val="both"/>
      <w:outlineLvl w:val="7"/>
    </w:pPr>
    <w:rPr>
      <w:rFonts w:ascii="Arial" w:eastAsia="Times New Roman" w:hAnsi="Arial" w:cs="Times New Roman"/>
      <w:sz w:val="20"/>
      <w:szCs w:val="20"/>
    </w:rPr>
  </w:style>
  <w:style w:type="paragraph" w:customStyle="1" w:styleId="SectionHeadingTOC">
    <w:name w:val="Section Heading TOC"/>
    <w:basedOn w:val="Normal"/>
    <w:next w:val="Normal"/>
    <w:rsid w:val="00045D6E"/>
    <w:pPr>
      <w:pageBreakBefore/>
      <w:numPr>
        <w:numId w:val="3"/>
      </w:numPr>
      <w:spacing w:before="720" w:after="0" w:line="240" w:lineRule="auto"/>
      <w:ind w:right="720"/>
      <w:jc w:val="center"/>
    </w:pPr>
    <w:rPr>
      <w:rFonts w:ascii="Arial" w:eastAsia="Times New Roman" w:hAnsi="Arial" w:cs="Times New Roman"/>
      <w:bCs/>
      <w:caps/>
      <w:sz w:val="32"/>
      <w:szCs w:val="20"/>
    </w:rPr>
  </w:style>
  <w:style w:type="numbering" w:customStyle="1" w:styleId="MacLevelsCustomListStyle">
    <w:name w:val="MacLevelsCustomListStyle"/>
    <w:uiPriority w:val="99"/>
    <w:rsid w:val="00045D6E"/>
    <w:pPr>
      <w:numPr>
        <w:numId w:val="3"/>
      </w:numPr>
    </w:pPr>
  </w:style>
  <w:style w:type="paragraph" w:customStyle="1" w:styleId="xmsolistparagraph">
    <w:name w:val="x_msolistparagraph"/>
    <w:basedOn w:val="Normal"/>
    <w:rsid w:val="00045D6E"/>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3D3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1D8"/>
  </w:style>
  <w:style w:type="paragraph" w:styleId="Footer">
    <w:name w:val="footer"/>
    <w:basedOn w:val="Normal"/>
    <w:link w:val="FooterChar"/>
    <w:uiPriority w:val="99"/>
    <w:unhideWhenUsed/>
    <w:rsid w:val="003D3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5476">
      <w:bodyDiv w:val="1"/>
      <w:marLeft w:val="0"/>
      <w:marRight w:val="0"/>
      <w:marTop w:val="0"/>
      <w:marBottom w:val="0"/>
      <w:divBdr>
        <w:top w:val="none" w:sz="0" w:space="0" w:color="auto"/>
        <w:left w:val="none" w:sz="0" w:space="0" w:color="auto"/>
        <w:bottom w:val="none" w:sz="0" w:space="0" w:color="auto"/>
        <w:right w:val="none" w:sz="0" w:space="0" w:color="auto"/>
      </w:divBdr>
    </w:div>
    <w:div w:id="219754229">
      <w:bodyDiv w:val="1"/>
      <w:marLeft w:val="0"/>
      <w:marRight w:val="0"/>
      <w:marTop w:val="0"/>
      <w:marBottom w:val="0"/>
      <w:divBdr>
        <w:top w:val="none" w:sz="0" w:space="0" w:color="auto"/>
        <w:left w:val="none" w:sz="0" w:space="0" w:color="auto"/>
        <w:bottom w:val="none" w:sz="0" w:space="0" w:color="auto"/>
        <w:right w:val="none" w:sz="0" w:space="0" w:color="auto"/>
      </w:divBdr>
    </w:div>
    <w:div w:id="326976415">
      <w:bodyDiv w:val="1"/>
      <w:marLeft w:val="0"/>
      <w:marRight w:val="0"/>
      <w:marTop w:val="0"/>
      <w:marBottom w:val="0"/>
      <w:divBdr>
        <w:top w:val="none" w:sz="0" w:space="0" w:color="auto"/>
        <w:left w:val="none" w:sz="0" w:space="0" w:color="auto"/>
        <w:bottom w:val="none" w:sz="0" w:space="0" w:color="auto"/>
        <w:right w:val="none" w:sz="0" w:space="0" w:color="auto"/>
      </w:divBdr>
    </w:div>
    <w:div w:id="605574939">
      <w:bodyDiv w:val="1"/>
      <w:marLeft w:val="0"/>
      <w:marRight w:val="0"/>
      <w:marTop w:val="0"/>
      <w:marBottom w:val="0"/>
      <w:divBdr>
        <w:top w:val="none" w:sz="0" w:space="0" w:color="auto"/>
        <w:left w:val="none" w:sz="0" w:space="0" w:color="auto"/>
        <w:bottom w:val="none" w:sz="0" w:space="0" w:color="auto"/>
        <w:right w:val="none" w:sz="0" w:space="0" w:color="auto"/>
      </w:divBdr>
    </w:div>
    <w:div w:id="718825163">
      <w:bodyDiv w:val="1"/>
      <w:marLeft w:val="0"/>
      <w:marRight w:val="0"/>
      <w:marTop w:val="0"/>
      <w:marBottom w:val="0"/>
      <w:divBdr>
        <w:top w:val="none" w:sz="0" w:space="0" w:color="auto"/>
        <w:left w:val="none" w:sz="0" w:space="0" w:color="auto"/>
        <w:bottom w:val="none" w:sz="0" w:space="0" w:color="auto"/>
        <w:right w:val="none" w:sz="0" w:space="0" w:color="auto"/>
      </w:divBdr>
    </w:div>
    <w:div w:id="857081305">
      <w:bodyDiv w:val="1"/>
      <w:marLeft w:val="0"/>
      <w:marRight w:val="0"/>
      <w:marTop w:val="0"/>
      <w:marBottom w:val="0"/>
      <w:divBdr>
        <w:top w:val="none" w:sz="0" w:space="0" w:color="auto"/>
        <w:left w:val="none" w:sz="0" w:space="0" w:color="auto"/>
        <w:bottom w:val="none" w:sz="0" w:space="0" w:color="auto"/>
        <w:right w:val="none" w:sz="0" w:space="0" w:color="auto"/>
      </w:divBdr>
    </w:div>
    <w:div w:id="872576889">
      <w:bodyDiv w:val="1"/>
      <w:marLeft w:val="0"/>
      <w:marRight w:val="0"/>
      <w:marTop w:val="0"/>
      <w:marBottom w:val="0"/>
      <w:divBdr>
        <w:top w:val="none" w:sz="0" w:space="0" w:color="auto"/>
        <w:left w:val="none" w:sz="0" w:space="0" w:color="auto"/>
        <w:bottom w:val="none" w:sz="0" w:space="0" w:color="auto"/>
        <w:right w:val="none" w:sz="0" w:space="0" w:color="auto"/>
      </w:divBdr>
    </w:div>
    <w:div w:id="954094982">
      <w:bodyDiv w:val="1"/>
      <w:marLeft w:val="0"/>
      <w:marRight w:val="0"/>
      <w:marTop w:val="0"/>
      <w:marBottom w:val="0"/>
      <w:divBdr>
        <w:top w:val="none" w:sz="0" w:space="0" w:color="auto"/>
        <w:left w:val="none" w:sz="0" w:space="0" w:color="auto"/>
        <w:bottom w:val="none" w:sz="0" w:space="0" w:color="auto"/>
        <w:right w:val="none" w:sz="0" w:space="0" w:color="auto"/>
      </w:divBdr>
    </w:div>
    <w:div w:id="1332641686">
      <w:bodyDiv w:val="1"/>
      <w:marLeft w:val="0"/>
      <w:marRight w:val="0"/>
      <w:marTop w:val="0"/>
      <w:marBottom w:val="0"/>
      <w:divBdr>
        <w:top w:val="none" w:sz="0" w:space="0" w:color="auto"/>
        <w:left w:val="none" w:sz="0" w:space="0" w:color="auto"/>
        <w:bottom w:val="none" w:sz="0" w:space="0" w:color="auto"/>
        <w:right w:val="none" w:sz="0" w:space="0" w:color="auto"/>
      </w:divBdr>
    </w:div>
    <w:div w:id="1424258281">
      <w:bodyDiv w:val="1"/>
      <w:marLeft w:val="0"/>
      <w:marRight w:val="0"/>
      <w:marTop w:val="0"/>
      <w:marBottom w:val="0"/>
      <w:divBdr>
        <w:top w:val="none" w:sz="0" w:space="0" w:color="auto"/>
        <w:left w:val="none" w:sz="0" w:space="0" w:color="auto"/>
        <w:bottom w:val="none" w:sz="0" w:space="0" w:color="auto"/>
        <w:right w:val="none" w:sz="0" w:space="0" w:color="auto"/>
      </w:divBdr>
    </w:div>
    <w:div w:id="1487698127">
      <w:bodyDiv w:val="1"/>
      <w:marLeft w:val="0"/>
      <w:marRight w:val="0"/>
      <w:marTop w:val="0"/>
      <w:marBottom w:val="0"/>
      <w:divBdr>
        <w:top w:val="none" w:sz="0" w:space="0" w:color="auto"/>
        <w:left w:val="none" w:sz="0" w:space="0" w:color="auto"/>
        <w:bottom w:val="none" w:sz="0" w:space="0" w:color="auto"/>
        <w:right w:val="none" w:sz="0" w:space="0" w:color="auto"/>
      </w:divBdr>
    </w:div>
    <w:div w:id="1783575704">
      <w:bodyDiv w:val="1"/>
      <w:marLeft w:val="0"/>
      <w:marRight w:val="0"/>
      <w:marTop w:val="0"/>
      <w:marBottom w:val="0"/>
      <w:divBdr>
        <w:top w:val="none" w:sz="0" w:space="0" w:color="auto"/>
        <w:left w:val="none" w:sz="0" w:space="0" w:color="auto"/>
        <w:bottom w:val="none" w:sz="0" w:space="0" w:color="auto"/>
        <w:right w:val="none" w:sz="0" w:space="0" w:color="auto"/>
      </w:divBdr>
    </w:div>
    <w:div w:id="1803184712">
      <w:bodyDiv w:val="1"/>
      <w:marLeft w:val="0"/>
      <w:marRight w:val="0"/>
      <w:marTop w:val="0"/>
      <w:marBottom w:val="0"/>
      <w:divBdr>
        <w:top w:val="none" w:sz="0" w:space="0" w:color="auto"/>
        <w:left w:val="none" w:sz="0" w:space="0" w:color="auto"/>
        <w:bottom w:val="none" w:sz="0" w:space="0" w:color="auto"/>
        <w:right w:val="none" w:sz="0" w:space="0" w:color="auto"/>
      </w:divBdr>
    </w:div>
    <w:div w:id="186162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1837</Words>
  <Characters>10474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Cleary</dc:creator>
  <cp:keywords/>
  <dc:description/>
  <cp:lastModifiedBy>Rabbitts, Sarah</cp:lastModifiedBy>
  <cp:revision>2</cp:revision>
  <dcterms:created xsi:type="dcterms:W3CDTF">2022-03-31T14:59:00Z</dcterms:created>
  <dcterms:modified xsi:type="dcterms:W3CDTF">2022-03-31T14:59:00Z</dcterms:modified>
</cp:coreProperties>
</file>