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3D318" w14:textId="6E695285" w:rsidR="0057324D" w:rsidRDefault="00577B75" w:rsidP="0057324D">
      <w:pPr>
        <w:pStyle w:val="Numberedpara"/>
      </w:pPr>
      <w:r w:rsidRPr="00D06D57">
        <w:t xml:space="preserve">Responses and reactions </w:t>
      </w:r>
      <w:r w:rsidR="00281BBD" w:rsidRPr="00D06D57">
        <w:t>are invited</w:t>
      </w:r>
      <w:r w:rsidRPr="00D06D57">
        <w:t xml:space="preserve"> to the questions raised in </w:t>
      </w:r>
      <w:r w:rsidR="00B41606">
        <w:t>this paper</w:t>
      </w:r>
      <w:r w:rsidR="00281BBD" w:rsidRPr="00D06D57">
        <w:t xml:space="preserve">, with a deadline of </w:t>
      </w:r>
      <w:r w:rsidR="00B41606" w:rsidRPr="0057324D">
        <w:rPr>
          <w:b/>
          <w:bCs/>
        </w:rPr>
        <w:t>12</w:t>
      </w:r>
      <w:r w:rsidR="006C3DB5" w:rsidRPr="0057324D">
        <w:rPr>
          <w:b/>
          <w:bCs/>
        </w:rPr>
        <w:t>:</w:t>
      </w:r>
      <w:r w:rsidR="00B41606" w:rsidRPr="0057324D">
        <w:rPr>
          <w:b/>
          <w:bCs/>
        </w:rPr>
        <w:t>00pm</w:t>
      </w:r>
      <w:r w:rsidR="006C3DB5" w:rsidRPr="0057324D">
        <w:rPr>
          <w:b/>
          <w:bCs/>
        </w:rPr>
        <w:t xml:space="preserve"> on </w:t>
      </w:r>
      <w:r w:rsidR="00B41606" w:rsidRPr="0057324D">
        <w:rPr>
          <w:b/>
          <w:bCs/>
        </w:rPr>
        <w:t>Fri</w:t>
      </w:r>
      <w:r w:rsidR="006C3DB5" w:rsidRPr="0057324D">
        <w:rPr>
          <w:b/>
          <w:bCs/>
        </w:rPr>
        <w:t xml:space="preserve">day </w:t>
      </w:r>
      <w:r w:rsidR="00B41606" w:rsidRPr="0057324D">
        <w:rPr>
          <w:b/>
          <w:bCs/>
        </w:rPr>
        <w:t>30</w:t>
      </w:r>
      <w:r w:rsidR="006C3DB5" w:rsidRPr="0057324D">
        <w:rPr>
          <w:b/>
          <w:bCs/>
        </w:rPr>
        <w:t xml:space="preserve"> </w:t>
      </w:r>
      <w:r w:rsidR="00C34FF9" w:rsidRPr="0057324D">
        <w:rPr>
          <w:b/>
          <w:bCs/>
        </w:rPr>
        <w:t>S</w:t>
      </w:r>
      <w:r w:rsidR="00281BBD" w:rsidRPr="0057324D">
        <w:rPr>
          <w:b/>
          <w:bCs/>
        </w:rPr>
        <w:t>eptember 202</w:t>
      </w:r>
      <w:r w:rsidR="006C3DB5" w:rsidRPr="0057324D">
        <w:rPr>
          <w:b/>
          <w:bCs/>
        </w:rPr>
        <w:t>2</w:t>
      </w:r>
      <w:r w:rsidR="00281BBD" w:rsidRPr="00D06D57">
        <w:t>.</w:t>
      </w:r>
    </w:p>
    <w:p w14:paraId="598FA8DC" w14:textId="3D4F2D5F" w:rsidR="0047760D" w:rsidRDefault="0047760D" w:rsidP="0057324D">
      <w:pPr>
        <w:pStyle w:val="Numberedpara"/>
      </w:pPr>
      <w:r>
        <w:t xml:space="preserve">Responses should be submitted online at </w:t>
      </w:r>
      <w:hyperlink r:id="rId8" w:history="1">
        <w:r w:rsidRPr="00BF6F76">
          <w:rPr>
            <w:rStyle w:val="Hyperlink"/>
          </w:rPr>
          <w:t>https://www.surveymonkey.co.uk/r/CJC-costs</w:t>
        </w:r>
      </w:hyperlink>
      <w:r>
        <w:t xml:space="preserve"> </w:t>
      </w:r>
    </w:p>
    <w:p w14:paraId="2DDBAC08" w14:textId="19E8745B" w:rsidR="009301B7" w:rsidRPr="00D06D57" w:rsidRDefault="0057324D" w:rsidP="0057324D">
      <w:pPr>
        <w:pStyle w:val="Heading1"/>
      </w:pPr>
      <w:r w:rsidRPr="00D06D57">
        <w:t xml:space="preserve">CONSULTATION RESPONSES – GUIDANCE </w:t>
      </w:r>
    </w:p>
    <w:p w14:paraId="191D60E8" w14:textId="4571E841" w:rsidR="0018305E" w:rsidRPr="00D06D57" w:rsidRDefault="00A32BFF" w:rsidP="00A03C09">
      <w:pPr>
        <w:pStyle w:val="Numberedpara"/>
      </w:pPr>
      <w:bookmarkStart w:id="0" w:name="_Hlk107419209"/>
      <w:r w:rsidRPr="00D06D57">
        <w:t xml:space="preserve">When responding to this consultation, </w:t>
      </w:r>
      <w:r w:rsidR="009D5B01" w:rsidRPr="00D06D57">
        <w:t>the Working Group</w:t>
      </w:r>
      <w:r w:rsidRPr="00D06D57">
        <w:t xml:space="preserve"> would be grateful if </w:t>
      </w:r>
      <w:r w:rsidR="001B74BC" w:rsidRPr="00D06D57">
        <w:t>R</w:t>
      </w:r>
      <w:r w:rsidRPr="00D06D57">
        <w:t>espondents could identify their areas of expertise</w:t>
      </w:r>
      <w:r w:rsidR="00A37B76" w:rsidRPr="00D06D57">
        <w:t>/interest in the topic/levels of experience</w:t>
      </w:r>
      <w:r w:rsidR="00833B4F" w:rsidRPr="00D06D57">
        <w:t xml:space="preserve">. </w:t>
      </w:r>
      <w:bookmarkEnd w:id="0"/>
      <w:r w:rsidR="00490C85" w:rsidRPr="00D06D57">
        <w:t xml:space="preserve">Respondents are encouraged to respond to the overarching questions (or </w:t>
      </w:r>
      <w:r w:rsidR="006B3FB4" w:rsidRPr="00D06D57">
        <w:t xml:space="preserve">only </w:t>
      </w:r>
      <w:r w:rsidR="00490C85" w:rsidRPr="00D06D57">
        <w:t>some</w:t>
      </w:r>
      <w:r w:rsidR="00AC2E54">
        <w:t xml:space="preserve"> </w:t>
      </w:r>
      <w:r w:rsidR="00490C85" w:rsidRPr="00D06D57">
        <w:t xml:space="preserve">of the overarching questions) in any way they see fit, including by focusing only on </w:t>
      </w:r>
      <w:r w:rsidR="00552C0F" w:rsidRPr="00D06D57">
        <w:t xml:space="preserve">one or two topics </w:t>
      </w:r>
      <w:r w:rsidR="000300B0" w:rsidRPr="00D06D57">
        <w:t>in respect of which they have particular expertise</w:t>
      </w:r>
      <w:r w:rsidR="00AB114E" w:rsidRPr="00D06D57">
        <w:t xml:space="preserve">, or indeed only on </w:t>
      </w:r>
      <w:r w:rsidR="00CC6F34" w:rsidRPr="00D06D57">
        <w:t>specific questions or issues arising within individual topics</w:t>
      </w:r>
      <w:r w:rsidR="000300B0" w:rsidRPr="00D06D57">
        <w:t>.</w:t>
      </w:r>
      <w:r w:rsidR="006C3DB5" w:rsidRPr="00D06D57">
        <w:t xml:space="preserve"> </w:t>
      </w:r>
    </w:p>
    <w:p w14:paraId="3B99856C" w14:textId="5941215A" w:rsidR="009301B7" w:rsidRPr="00D06D57" w:rsidRDefault="009D5B01" w:rsidP="00A03C09">
      <w:pPr>
        <w:pStyle w:val="Numberedpara"/>
        <w:rPr>
          <w:u w:val="single"/>
        </w:rPr>
      </w:pPr>
      <w:r w:rsidRPr="00D06D57">
        <w:t>The Working Group has</w:t>
      </w:r>
      <w:r w:rsidR="009301B7" w:rsidRPr="00D06D57">
        <w:t xml:space="preserve"> not impose</w:t>
      </w:r>
      <w:r w:rsidR="00E009B1" w:rsidRPr="00D06D57">
        <w:t>d</w:t>
      </w:r>
      <w:r w:rsidR="009301B7" w:rsidRPr="00D06D57">
        <w:t xml:space="preserve"> limits on the volume of material which </w:t>
      </w:r>
      <w:r w:rsidR="00651ED2" w:rsidRPr="00D06D57">
        <w:t>R</w:t>
      </w:r>
      <w:r w:rsidR="009301B7" w:rsidRPr="00D06D57">
        <w:t>esponde</w:t>
      </w:r>
      <w:r w:rsidR="00806C9D" w:rsidRPr="00D06D57">
        <w:t>nts</w:t>
      </w:r>
      <w:r w:rsidR="009301B7" w:rsidRPr="00D06D57">
        <w:t xml:space="preserve"> can provide when responding to the consultation.</w:t>
      </w:r>
      <w:r w:rsidR="006C3DB5" w:rsidRPr="00D06D57">
        <w:t xml:space="preserve"> </w:t>
      </w:r>
      <w:r w:rsidR="00DC0695" w:rsidRPr="00D06D57">
        <w:rPr>
          <w:u w:val="single"/>
        </w:rPr>
        <w:t>However,</w:t>
      </w:r>
      <w:r w:rsidR="009301B7" w:rsidRPr="00D06D57">
        <w:rPr>
          <w:u w:val="single"/>
        </w:rPr>
        <w:t xml:space="preserve"> one condition, which must be adhered to, is that any response which amounts to more than 20 pages of text must be accompanied by an executive summary</w:t>
      </w:r>
      <w:r w:rsidR="00F10419" w:rsidRPr="00D06D57">
        <w:rPr>
          <w:u w:val="single"/>
        </w:rPr>
        <w:t xml:space="preserve"> of</w:t>
      </w:r>
      <w:r w:rsidR="009301B7" w:rsidRPr="00D06D57">
        <w:rPr>
          <w:u w:val="single"/>
        </w:rPr>
        <w:t xml:space="preserve"> no more than 2 pages in length.</w:t>
      </w:r>
    </w:p>
    <w:p w14:paraId="20BB6498" w14:textId="1641DB8E" w:rsidR="00A61E9B" w:rsidRPr="00D06D57" w:rsidRDefault="003527BF" w:rsidP="00A03C09">
      <w:pPr>
        <w:pStyle w:val="Numberedpara"/>
      </w:pPr>
      <w:r w:rsidRPr="00D06D57">
        <w:t>Respondents should have in mind the point emphasised above that the Working Group’s remit is strategic in nature.</w:t>
      </w:r>
      <w:r w:rsidR="006C3DB5" w:rsidRPr="00D06D57">
        <w:t xml:space="preserve"> </w:t>
      </w:r>
      <w:r w:rsidRPr="00D06D57">
        <w:t xml:space="preserve">The </w:t>
      </w:r>
      <w:r w:rsidR="00F10419" w:rsidRPr="00D06D57">
        <w:t>report to be generated at the end of this process</w:t>
      </w:r>
      <w:r w:rsidRPr="00D06D57">
        <w:t xml:space="preserve"> is intended to set the direction of travel for costs </w:t>
      </w:r>
      <w:r w:rsidR="00153734" w:rsidRPr="00D06D57">
        <w:t>and address important general issues.</w:t>
      </w:r>
      <w:r w:rsidR="006C3DB5" w:rsidRPr="00D06D57">
        <w:t xml:space="preserve"> </w:t>
      </w:r>
      <w:r w:rsidR="00153734" w:rsidRPr="00D06D57">
        <w:t xml:space="preserve">This work will not descend into detailed rule making or a close revision of detailed provisions. </w:t>
      </w:r>
    </w:p>
    <w:p w14:paraId="63D4F53A" w14:textId="2730B856" w:rsidR="009301B7" w:rsidRPr="00D06D57" w:rsidRDefault="000E60EF" w:rsidP="00A03C09">
      <w:pPr>
        <w:pStyle w:val="Numberedpara"/>
      </w:pPr>
      <w:r w:rsidRPr="00D06D57">
        <w:t>In this initial report</w:t>
      </w:r>
      <w:r w:rsidR="009D5B01" w:rsidRPr="00D06D57">
        <w:t>,</w:t>
      </w:r>
      <w:r w:rsidRPr="00D06D57">
        <w:t xml:space="preserve"> the Working Group only seeks to pose questions and put them in context.</w:t>
      </w:r>
      <w:r w:rsidR="006C3DB5" w:rsidRPr="00D06D57">
        <w:t xml:space="preserve"> </w:t>
      </w:r>
      <w:r w:rsidR="009D5B01" w:rsidRPr="00D06D57">
        <w:t>It</w:t>
      </w:r>
      <w:r w:rsidRPr="00D06D57">
        <w:t xml:space="preserve"> invite</w:t>
      </w:r>
      <w:r w:rsidR="009D5B01" w:rsidRPr="00D06D57">
        <w:t>s</w:t>
      </w:r>
      <w:r w:rsidRPr="00D06D57">
        <w:t xml:space="preserve"> answers, supported where</w:t>
      </w:r>
      <w:r w:rsidR="00153734" w:rsidRPr="00D06D57">
        <w:t>ver</w:t>
      </w:r>
      <w:r w:rsidRPr="00D06D57">
        <w:t xml:space="preserve"> possible by evidence and data.</w:t>
      </w:r>
      <w:r w:rsidR="006C3DB5" w:rsidRPr="00D06D57">
        <w:t xml:space="preserve"> </w:t>
      </w:r>
      <w:r w:rsidR="009301B7" w:rsidRPr="00D06D57">
        <w:t>As part of the consultation phase the Working Group will also consider what data may be available to illuminate the answers to these questions and will take steps to seek it out.</w:t>
      </w:r>
      <w:r w:rsidR="006C3DB5" w:rsidRPr="00D06D57">
        <w:t xml:space="preserve"> </w:t>
      </w:r>
      <w:r w:rsidR="004706C8" w:rsidRPr="00D06D57">
        <w:t>Any suggestions as to material that the Working Group should be taking into account would be welcome.</w:t>
      </w:r>
    </w:p>
    <w:p w14:paraId="7B98E1F4" w14:textId="3C42CBE4" w:rsidR="00876C6B" w:rsidRPr="00D06D57" w:rsidRDefault="00153734" w:rsidP="00A03C09">
      <w:pPr>
        <w:pStyle w:val="Numberedpara"/>
      </w:pPr>
      <w:r w:rsidRPr="00D06D57">
        <w:t>Throughout its work the Working Group will have regard to the three dimensions identified at the start</w:t>
      </w:r>
      <w:r w:rsidR="00FC4955" w:rsidRPr="00D06D57">
        <w:t xml:space="preserve"> - </w:t>
      </w:r>
      <w:r w:rsidRPr="00D06D57">
        <w:t xml:space="preserve">digitisation, the needs of vulnerable court users and the economic significance of the civil justice system as a whole. </w:t>
      </w:r>
      <w:r w:rsidR="00DD1D60" w:rsidRPr="00D06D57">
        <w:t>R</w:t>
      </w:r>
      <w:r w:rsidRPr="00D06D57">
        <w:t xml:space="preserve">espondents </w:t>
      </w:r>
      <w:r w:rsidR="00B579A6" w:rsidRPr="00D06D57">
        <w:t xml:space="preserve">are invited </w:t>
      </w:r>
      <w:r w:rsidRPr="00D06D57">
        <w:t>also to bear these in mind</w:t>
      </w:r>
      <w:r w:rsidR="00DD1D60" w:rsidRPr="00D06D57">
        <w:t xml:space="preserve"> in providing their responses</w:t>
      </w:r>
      <w:r w:rsidRPr="00D06D57">
        <w:t>.</w:t>
      </w:r>
    </w:p>
    <w:p w14:paraId="130AEB21" w14:textId="7D6BE45B" w:rsidR="00B0226C" w:rsidRPr="00D06D57" w:rsidRDefault="00B0226C" w:rsidP="00A03C09">
      <w:pPr>
        <w:spacing w:after="100" w:afterAutospacing="1" w:line="264" w:lineRule="auto"/>
        <w:contextualSpacing/>
        <w:mirrorIndents/>
      </w:pPr>
      <w:r w:rsidRPr="00D06D57">
        <w:br w:type="page"/>
      </w:r>
    </w:p>
    <w:p w14:paraId="50360D76" w14:textId="7638A49E" w:rsidR="00AF6638" w:rsidRPr="00D06D57" w:rsidRDefault="005E44CC" w:rsidP="00A03C09">
      <w:pPr>
        <w:pStyle w:val="Heading1"/>
      </w:pPr>
      <w:r w:rsidRPr="00D06D57">
        <w:lastRenderedPageBreak/>
        <w:t xml:space="preserve">THE QUESTIONS </w:t>
      </w:r>
    </w:p>
    <w:p w14:paraId="4C583636" w14:textId="1A221E55" w:rsidR="00B0226C" w:rsidRPr="00D06D57" w:rsidRDefault="00B0226C" w:rsidP="00A03C09">
      <w:pPr>
        <w:pStyle w:val="Heading1"/>
      </w:pPr>
      <w:r w:rsidRPr="00D06D57">
        <w:t xml:space="preserve">Part 1 – Costs Budgeting </w:t>
      </w:r>
    </w:p>
    <w:p w14:paraId="5B63149F" w14:textId="79A34297" w:rsidR="00FD4E03" w:rsidRPr="00D06D57" w:rsidRDefault="00FD4E03" w:rsidP="00A03C09">
      <w:pPr>
        <w:pStyle w:val="ListParagraph"/>
        <w:numPr>
          <w:ilvl w:val="0"/>
          <w:numId w:val="26"/>
        </w:numPr>
        <w:ind w:hanging="720"/>
        <w:rPr>
          <w:b/>
          <w:bCs/>
        </w:rPr>
      </w:pPr>
      <w:proofErr w:type="gramStart"/>
      <w:r w:rsidRPr="00D06D57">
        <w:rPr>
          <w:b/>
          <w:bCs/>
        </w:rPr>
        <w:t>Is</w:t>
      </w:r>
      <w:proofErr w:type="gramEnd"/>
      <w:r w:rsidRPr="00D06D57">
        <w:rPr>
          <w:b/>
          <w:bCs/>
        </w:rPr>
        <w:t xml:space="preserve"> </w:t>
      </w:r>
      <w:r w:rsidR="00B0226C" w:rsidRPr="00D06D57">
        <w:rPr>
          <w:b/>
          <w:bCs/>
        </w:rPr>
        <w:t xml:space="preserve">costs budgeting </w:t>
      </w:r>
      <w:r w:rsidRPr="00D06D57">
        <w:rPr>
          <w:b/>
          <w:bCs/>
        </w:rPr>
        <w:t>useful</w:t>
      </w:r>
      <w:r w:rsidR="00B0226C" w:rsidRPr="00D06D57">
        <w:rPr>
          <w:b/>
          <w:bCs/>
        </w:rPr>
        <w:t xml:space="preserve">? </w:t>
      </w:r>
    </w:p>
    <w:p w14:paraId="75D60AEC" w14:textId="359FE3F7" w:rsidR="00407B98" w:rsidRPr="00D06D57" w:rsidRDefault="00407B98" w:rsidP="00A03C09">
      <w:pPr>
        <w:pStyle w:val="ListParagraph"/>
        <w:numPr>
          <w:ilvl w:val="0"/>
          <w:numId w:val="26"/>
        </w:numPr>
        <w:ind w:hanging="720"/>
        <w:rPr>
          <w:b/>
          <w:bCs/>
        </w:rPr>
      </w:pPr>
      <w:r w:rsidRPr="00D06D57">
        <w:rPr>
          <w:b/>
          <w:bCs/>
        </w:rPr>
        <w:t>What if any changes should be made to the existing costs budgeting regime?</w:t>
      </w:r>
    </w:p>
    <w:p w14:paraId="073E86E8" w14:textId="121CCC4B" w:rsidR="002970CF" w:rsidRPr="00D06D57" w:rsidRDefault="002970CF" w:rsidP="00A03C09">
      <w:pPr>
        <w:pStyle w:val="ListParagraph"/>
        <w:numPr>
          <w:ilvl w:val="0"/>
          <w:numId w:val="26"/>
        </w:numPr>
        <w:ind w:hanging="720"/>
        <w:rPr>
          <w:b/>
          <w:bCs/>
        </w:rPr>
      </w:pPr>
      <w:r w:rsidRPr="00D06D57">
        <w:rPr>
          <w:b/>
          <w:bCs/>
        </w:rPr>
        <w:t>Should costs budgeting be abandoned?</w:t>
      </w:r>
    </w:p>
    <w:p w14:paraId="2FA9310F" w14:textId="05296864" w:rsidR="002970CF" w:rsidRPr="00D06D57" w:rsidRDefault="00A122E5" w:rsidP="00A03C09">
      <w:pPr>
        <w:pStyle w:val="ListParagraph"/>
        <w:numPr>
          <w:ilvl w:val="0"/>
          <w:numId w:val="26"/>
        </w:numPr>
        <w:ind w:hanging="720"/>
        <w:rPr>
          <w:b/>
          <w:bCs/>
        </w:rPr>
      </w:pPr>
      <w:r w:rsidRPr="00D06D57">
        <w:rPr>
          <w:b/>
          <w:bCs/>
        </w:rPr>
        <w:t>If costs budgeting is retained, should it be on a “default on” or “default off” bas</w:t>
      </w:r>
      <w:r w:rsidR="00407B98" w:rsidRPr="00D06D57">
        <w:rPr>
          <w:b/>
          <w:bCs/>
        </w:rPr>
        <w:t>i</w:t>
      </w:r>
      <w:r w:rsidRPr="00D06D57">
        <w:rPr>
          <w:b/>
          <w:bCs/>
        </w:rPr>
        <w:t>s?</w:t>
      </w:r>
      <w:r w:rsidR="007149E7" w:rsidRPr="00D06D57">
        <w:rPr>
          <w:b/>
          <w:bCs/>
        </w:rPr>
        <w:t xml:space="preserve"> </w:t>
      </w:r>
    </w:p>
    <w:p w14:paraId="618CADF6" w14:textId="5ACDC497" w:rsidR="008D59C1" w:rsidRPr="00D06D57" w:rsidRDefault="008D59C1" w:rsidP="00A03C09">
      <w:pPr>
        <w:pStyle w:val="ListParagraph"/>
        <w:numPr>
          <w:ilvl w:val="0"/>
          <w:numId w:val="26"/>
        </w:numPr>
        <w:ind w:hanging="720"/>
        <w:rPr>
          <w:b/>
          <w:bCs/>
        </w:rPr>
      </w:pPr>
      <w:r w:rsidRPr="00D06D57">
        <w:rPr>
          <w:b/>
          <w:bCs/>
        </w:rPr>
        <w:t xml:space="preserve">For cases that continue within the costs budgeting regime, are there any </w:t>
      </w:r>
      <w:r w:rsidR="005E44CC" w:rsidRPr="00D06D57">
        <w:rPr>
          <w:b/>
          <w:bCs/>
        </w:rPr>
        <w:t>high-level</w:t>
      </w:r>
      <w:r w:rsidRPr="00D06D57">
        <w:rPr>
          <w:b/>
          <w:bCs/>
        </w:rPr>
        <w:t xml:space="preserve"> changes to the procedural requirements</w:t>
      </w:r>
      <w:r w:rsidR="00A36850" w:rsidRPr="00D06D57">
        <w:rPr>
          <w:b/>
          <w:bCs/>
        </w:rPr>
        <w:t xml:space="preserve"> or general approach</w:t>
      </w:r>
      <w:r w:rsidRPr="00D06D57">
        <w:rPr>
          <w:b/>
          <w:bCs/>
        </w:rPr>
        <w:t xml:space="preserve"> that should be made?</w:t>
      </w:r>
    </w:p>
    <w:p w14:paraId="22FBAABA" w14:textId="77777777" w:rsidR="00277242" w:rsidRPr="00D06D57" w:rsidRDefault="00277242" w:rsidP="00A03C09">
      <w:pPr>
        <w:pStyle w:val="ListParagraph"/>
        <w:rPr>
          <w:b/>
          <w:bCs/>
        </w:rPr>
      </w:pPr>
    </w:p>
    <w:p w14:paraId="58D2450B" w14:textId="12F52097" w:rsidR="0002326F" w:rsidRPr="00D06D57" w:rsidRDefault="000F65E3" w:rsidP="00A03C09">
      <w:pPr>
        <w:pStyle w:val="ListParagraph"/>
        <w:ind w:left="567"/>
      </w:pPr>
      <w:r w:rsidRPr="00D06D57">
        <w:t xml:space="preserve">It is anticipated that the answers to </w:t>
      </w:r>
      <w:r w:rsidR="00AC334E" w:rsidRPr="00D06D57">
        <w:t>Q</w:t>
      </w:r>
      <w:r w:rsidRPr="00D06D57">
        <w:t xml:space="preserve">uestions </w:t>
      </w:r>
      <w:r w:rsidR="00AC334E" w:rsidRPr="00D06D57">
        <w:t xml:space="preserve">1.1-1.3 </w:t>
      </w:r>
      <w:r w:rsidRPr="00D06D57">
        <w:t>are likely to overlap. However, i</w:t>
      </w:r>
      <w:r w:rsidR="0061177E" w:rsidRPr="00D06D57">
        <w:t xml:space="preserve">n answering </w:t>
      </w:r>
      <w:r w:rsidR="00AC334E" w:rsidRPr="00D06D57">
        <w:t>these questions</w:t>
      </w:r>
      <w:r w:rsidR="002325A0" w:rsidRPr="00D06D57">
        <w:t>,</w:t>
      </w:r>
      <w:r w:rsidR="0061177E" w:rsidRPr="00D06D57">
        <w:t xml:space="preserve"> Respondents may wish to consider</w:t>
      </w:r>
      <w:r w:rsidR="000A7775" w:rsidRPr="00D06D57">
        <w:t>:</w:t>
      </w:r>
      <w:r w:rsidR="0061177E" w:rsidRPr="00D06D57">
        <w:t xml:space="preserve"> </w:t>
      </w:r>
    </w:p>
    <w:p w14:paraId="4DBBE1FB" w14:textId="03ECF163" w:rsidR="0002326F" w:rsidRPr="00D06D57" w:rsidRDefault="000A7775" w:rsidP="00A03C09">
      <w:pPr>
        <w:pStyle w:val="ListParagraph"/>
        <w:ind w:left="567"/>
      </w:pPr>
      <w:r w:rsidRPr="00D06D57">
        <w:t>W</w:t>
      </w:r>
      <w:r w:rsidR="007849A5" w:rsidRPr="00D06D57">
        <w:t>hether costs budgeting is more useful in some circumstances than in others</w:t>
      </w:r>
      <w:r w:rsidR="00E223D7" w:rsidRPr="00D06D57">
        <w:t xml:space="preserve"> and, if so, what those circumstances are and why.</w:t>
      </w:r>
      <w:r w:rsidR="006C3DB5" w:rsidRPr="00D06D57">
        <w:t xml:space="preserve"> </w:t>
      </w:r>
      <w:r w:rsidR="00E223D7" w:rsidRPr="00D06D57">
        <w:t xml:space="preserve">If costs budgeting is not considered useful, </w:t>
      </w:r>
      <w:r w:rsidR="00E437CA" w:rsidRPr="00D06D57">
        <w:t>why?</w:t>
      </w:r>
      <w:r w:rsidR="006C3DB5" w:rsidRPr="00D06D57">
        <w:t xml:space="preserve"> </w:t>
      </w:r>
      <w:r w:rsidR="00E437CA" w:rsidRPr="00D06D57">
        <w:t>W</w:t>
      </w:r>
      <w:r w:rsidR="00E223D7" w:rsidRPr="00D06D57">
        <w:t>hat (high level) changes should be made?</w:t>
      </w:r>
      <w:r w:rsidR="006C3DB5" w:rsidRPr="00D06D57">
        <w:t xml:space="preserve"> </w:t>
      </w:r>
      <w:r w:rsidR="00334AC1" w:rsidRPr="00D06D57">
        <w:t xml:space="preserve">If Respondents consider that costs budgeting is not always applied consistently (whether as between judges </w:t>
      </w:r>
      <w:r w:rsidR="009C58EB" w:rsidRPr="00D06D57">
        <w:t xml:space="preserve">or courts) it would be </w:t>
      </w:r>
      <w:r w:rsidR="0002326F" w:rsidRPr="00D06D57">
        <w:t>helpful</w:t>
      </w:r>
      <w:r w:rsidR="009C58EB" w:rsidRPr="00D06D57">
        <w:t xml:space="preserve"> if </w:t>
      </w:r>
      <w:r w:rsidR="00FD4ED6" w:rsidRPr="00D06D57">
        <w:t xml:space="preserve">Respondents could identify what they think are the reasons for the disparity and </w:t>
      </w:r>
      <w:r w:rsidR="00A15588" w:rsidRPr="00D06D57">
        <w:t xml:space="preserve">provide </w:t>
      </w:r>
      <w:r w:rsidR="009C58EB" w:rsidRPr="00D06D57">
        <w:t xml:space="preserve">evidence to support </w:t>
      </w:r>
      <w:r w:rsidR="00A15588" w:rsidRPr="00D06D57">
        <w:t xml:space="preserve">their </w:t>
      </w:r>
      <w:r w:rsidR="009C58EB" w:rsidRPr="00D06D57">
        <w:t>view</w:t>
      </w:r>
      <w:r w:rsidR="00A15588" w:rsidRPr="00D06D57">
        <w:t>s</w:t>
      </w:r>
      <w:r w:rsidR="009C58EB" w:rsidRPr="00D06D57">
        <w:t>.</w:t>
      </w:r>
      <w:r w:rsidR="00AC2E54">
        <w:t xml:space="preserve"> </w:t>
      </w:r>
      <w:r w:rsidR="005E4211" w:rsidRPr="00D06D57">
        <w:t>Evidence indicating whether costs budgeting has reduced the number of cases going to Detailed Assessment might be provided.</w:t>
      </w:r>
    </w:p>
    <w:p w14:paraId="1CC63ABC" w14:textId="5B8C42FA" w:rsidR="00701780" w:rsidRPr="00D06D57" w:rsidRDefault="008067C2" w:rsidP="00A03C09">
      <w:pPr>
        <w:pStyle w:val="ListParagraph"/>
        <w:ind w:left="567"/>
      </w:pPr>
      <w:r w:rsidRPr="00D06D57">
        <w:t xml:space="preserve">Respondents may </w:t>
      </w:r>
      <w:r w:rsidR="002325A0" w:rsidRPr="00D06D57">
        <w:t xml:space="preserve">also </w:t>
      </w:r>
      <w:r w:rsidRPr="00D06D57">
        <w:t xml:space="preserve">wish </w:t>
      </w:r>
      <w:r w:rsidR="00D050D2" w:rsidRPr="00D06D57">
        <w:t>to identify their views</w:t>
      </w:r>
      <w:r w:rsidR="0013193A" w:rsidRPr="00D06D57">
        <w:t xml:space="preserve"> (and explain their reasons)</w:t>
      </w:r>
      <w:r w:rsidR="00D050D2" w:rsidRPr="00D06D57">
        <w:t xml:space="preserve"> </w:t>
      </w:r>
      <w:r w:rsidR="0013193A" w:rsidRPr="00D06D57">
        <w:t>on whether costs</w:t>
      </w:r>
      <w:r w:rsidR="00FE567B" w:rsidRPr="00D06D57">
        <w:t xml:space="preserve"> budgeting </w:t>
      </w:r>
      <w:r w:rsidR="00A761C3" w:rsidRPr="00D06D57">
        <w:t xml:space="preserve">(i) </w:t>
      </w:r>
      <w:r w:rsidR="00D718E2" w:rsidRPr="00D06D57">
        <w:t>should be abandoned</w:t>
      </w:r>
      <w:r w:rsidR="00A761C3" w:rsidRPr="00D06D57">
        <w:t xml:space="preserve">; (ii) </w:t>
      </w:r>
      <w:r w:rsidR="00D718E2" w:rsidRPr="00D06D57">
        <w:t>is vital</w:t>
      </w:r>
      <w:r w:rsidR="00285041" w:rsidRPr="00D06D57">
        <w:t>, at least in certain cases</w:t>
      </w:r>
      <w:r w:rsidR="00FE567B" w:rsidRPr="00D06D57">
        <w:t xml:space="preserve"> (</w:t>
      </w:r>
      <w:r w:rsidR="00A761C3" w:rsidRPr="00D06D57">
        <w:t xml:space="preserve">and, if so, </w:t>
      </w:r>
      <w:r w:rsidR="00FE567B" w:rsidRPr="00D06D57">
        <w:t>those cases should be identified)</w:t>
      </w:r>
      <w:r w:rsidR="00A761C3" w:rsidRPr="00D06D57">
        <w:t xml:space="preserve">; (iii) </w:t>
      </w:r>
      <w:r w:rsidR="00285041" w:rsidRPr="00D06D57">
        <w:t xml:space="preserve">promotes access to justice for smaller parties litigating against </w:t>
      </w:r>
      <w:r w:rsidR="00623B86" w:rsidRPr="00D06D57">
        <w:t>better funded opponents</w:t>
      </w:r>
      <w:r w:rsidR="00A761C3" w:rsidRPr="00D06D57">
        <w:t xml:space="preserve">; (iv) </w:t>
      </w:r>
      <w:r w:rsidR="00285041" w:rsidRPr="00D06D57">
        <w:t>wastes significant time and cost</w:t>
      </w:r>
      <w:r w:rsidR="00CA5549" w:rsidRPr="00D06D57">
        <w:t>s in</w:t>
      </w:r>
      <w:r w:rsidR="00285041" w:rsidRPr="00D06D57">
        <w:t xml:space="preserve"> managing the budgets of parties whose costs will never be paid</w:t>
      </w:r>
      <w:r w:rsidR="00A761C3" w:rsidRPr="00D06D57">
        <w:t xml:space="preserve">; </w:t>
      </w:r>
      <w:r w:rsidR="001D4C1F" w:rsidRPr="00D06D57">
        <w:t>and</w:t>
      </w:r>
      <w:r w:rsidR="00A761C3" w:rsidRPr="00D06D57">
        <w:t xml:space="preserve"> (v)</w:t>
      </w:r>
      <w:r w:rsidR="00D2557A" w:rsidRPr="00D06D57">
        <w:t xml:space="preserve"> causes the expenditure of costs which are</w:t>
      </w:r>
      <w:r w:rsidR="00285041" w:rsidRPr="00D06D57">
        <w:t xml:space="preserve"> disproportionate</w:t>
      </w:r>
      <w:r w:rsidR="00E04869" w:rsidRPr="00D06D57">
        <w:t>.</w:t>
      </w:r>
      <w:r w:rsidR="006C3DB5" w:rsidRPr="00D06D57">
        <w:t xml:space="preserve"> </w:t>
      </w:r>
      <w:r w:rsidR="001D4C1F" w:rsidRPr="00D06D57">
        <w:t xml:space="preserve">Respondents may wish to consider whether </w:t>
      </w:r>
      <w:r w:rsidR="00B0226C" w:rsidRPr="00D06D57">
        <w:t xml:space="preserve">there </w:t>
      </w:r>
      <w:r w:rsidR="0081079B" w:rsidRPr="00D06D57">
        <w:t xml:space="preserve">are </w:t>
      </w:r>
      <w:r w:rsidR="00B0226C" w:rsidRPr="00D06D57">
        <w:t xml:space="preserve">any alternative rules that should be put </w:t>
      </w:r>
      <w:r w:rsidR="008D59C1" w:rsidRPr="00D06D57">
        <w:t xml:space="preserve">in </w:t>
      </w:r>
      <w:r w:rsidR="00B0226C" w:rsidRPr="00D06D57">
        <w:t>place</w:t>
      </w:r>
      <w:r w:rsidR="000E1221" w:rsidRPr="00D06D57">
        <w:t xml:space="preserve"> of costs budgeting</w:t>
      </w:r>
      <w:r w:rsidR="00B0226C" w:rsidRPr="00D06D57">
        <w:t xml:space="preserve"> (for example to </w:t>
      </w:r>
      <w:r w:rsidR="00623B86" w:rsidRPr="00D06D57">
        <w:t xml:space="preserve">safeguard </w:t>
      </w:r>
      <w:r w:rsidR="00B0226C" w:rsidRPr="00D06D57">
        <w:t>access to justice</w:t>
      </w:r>
      <w:r w:rsidR="00B579A6" w:rsidRPr="00D06D57">
        <w:t xml:space="preserve"> and to ensure the early consideration of costs by the parties together with the scope for intervention by the court to control costs</w:t>
      </w:r>
      <w:r w:rsidR="00B0226C" w:rsidRPr="00D06D57">
        <w:t>)</w:t>
      </w:r>
      <w:r w:rsidR="0081079B" w:rsidRPr="00D06D57">
        <w:t>.</w:t>
      </w:r>
    </w:p>
    <w:p w14:paraId="4ADD7689" w14:textId="59686161" w:rsidR="00701780" w:rsidRPr="00D06D57" w:rsidRDefault="00701780" w:rsidP="00A03C09">
      <w:pPr>
        <w:pStyle w:val="ListParagraph"/>
        <w:ind w:left="567"/>
      </w:pPr>
      <w:r w:rsidRPr="00D06D57">
        <w:t>If Respondents consider that costs budgeting should be abandoned, they may wish to consider and provide views on how the court will nevertheless ensure that cases are conducted justly and at proportionate cost in accordance with the overriding objective, what the potential impact might be on vulnerable parties and whether parties should still be required to exchange</w:t>
      </w:r>
      <w:r w:rsidR="00662602" w:rsidRPr="00D06D57">
        <w:t xml:space="preserve"> (and file)</w:t>
      </w:r>
      <w:r w:rsidRPr="00D06D57">
        <w:t xml:space="preserve"> their own estimates of their costs to trial</w:t>
      </w:r>
      <w:r w:rsidR="00662602" w:rsidRPr="00D06D57">
        <w:t xml:space="preserve"> and if so when</w:t>
      </w:r>
      <w:r w:rsidRPr="00D06D57">
        <w:t>.</w:t>
      </w:r>
      <w:r w:rsidR="00AC2E54">
        <w:t xml:space="preserve"> </w:t>
      </w:r>
      <w:r w:rsidR="00B579A6" w:rsidRPr="00D06D57">
        <w:t xml:space="preserve">Respondents </w:t>
      </w:r>
      <w:r w:rsidR="005E4211" w:rsidRPr="00D06D57">
        <w:t xml:space="preserve">may wish to provide their views on whether </w:t>
      </w:r>
      <w:r w:rsidR="00B579A6" w:rsidRPr="00D06D57">
        <w:t>an alternative procedur</w:t>
      </w:r>
      <w:r w:rsidR="005E4211" w:rsidRPr="00D06D57">
        <w:t>e or rule should be introduced to ensu</w:t>
      </w:r>
      <w:r w:rsidR="00741096">
        <w:t>r</w:t>
      </w:r>
      <w:r w:rsidR="005E4211" w:rsidRPr="00D06D57">
        <w:t>e the conduct of proceedings at proportionate cost.</w:t>
      </w:r>
    </w:p>
    <w:p w14:paraId="22B90317" w14:textId="75CD70AE" w:rsidR="00627C7D" w:rsidRPr="00D06D57" w:rsidRDefault="00A04FB7" w:rsidP="00A03C09">
      <w:pPr>
        <w:pStyle w:val="ListParagraph"/>
        <w:ind w:left="567"/>
      </w:pPr>
      <w:r w:rsidRPr="00D06D57">
        <w:t xml:space="preserve">In answering Question 1.4, Respondents may wish to consider whether </w:t>
      </w:r>
      <w:r w:rsidR="00FF2DF6" w:rsidRPr="00D06D57">
        <w:t>the current arrangement, in which costs budgeting is default on for cases under £10 million (s</w:t>
      </w:r>
      <w:r w:rsidR="00DC75BB" w:rsidRPr="00D06D57">
        <w:t>ubject to</w:t>
      </w:r>
      <w:r w:rsidR="00FF2DF6" w:rsidRPr="00D06D57">
        <w:t xml:space="preserve"> exceptions)</w:t>
      </w:r>
      <w:r w:rsidR="00DC75BB" w:rsidRPr="00D06D57">
        <w:t>, should</w:t>
      </w:r>
      <w:r w:rsidR="00FF2DF6" w:rsidRPr="00D06D57">
        <w:t xml:space="preserve"> be retained</w:t>
      </w:r>
      <w:r w:rsidR="00E2765A" w:rsidRPr="00D06D57">
        <w:t xml:space="preserve"> </w:t>
      </w:r>
      <w:r w:rsidR="007E2361" w:rsidRPr="00D06D57">
        <w:t>or</w:t>
      </w:r>
      <w:r w:rsidR="00E2765A" w:rsidRPr="00D06D57">
        <w:t xml:space="preserve"> </w:t>
      </w:r>
      <w:r w:rsidRPr="00D06D57">
        <w:t xml:space="preserve">whether it </w:t>
      </w:r>
      <w:r w:rsidR="00E2765A" w:rsidRPr="00D06D57">
        <w:t>s</w:t>
      </w:r>
      <w:r w:rsidR="00B0226C" w:rsidRPr="00D06D57">
        <w:t xml:space="preserve">hould only be applied to cases at the </w:t>
      </w:r>
      <w:r w:rsidR="00FD4E03" w:rsidRPr="00D06D57">
        <w:t xml:space="preserve">case management </w:t>
      </w:r>
      <w:r w:rsidR="00B0226C" w:rsidRPr="00D06D57">
        <w:t>discretion of the court and upon the making of a court order to that effect (“default off”)</w:t>
      </w:r>
      <w:r w:rsidR="00E2765A" w:rsidRPr="00D06D57">
        <w:t>.</w:t>
      </w:r>
      <w:r w:rsidR="006C3DB5" w:rsidRPr="00D06D57">
        <w:t xml:space="preserve"> </w:t>
      </w:r>
      <w:r w:rsidR="00436EEA" w:rsidRPr="00D06D57">
        <w:t xml:space="preserve">Where the court makes such an order do Respondents have views on whether the </w:t>
      </w:r>
      <w:r w:rsidR="00A07E70" w:rsidRPr="00D06D57">
        <w:t xml:space="preserve">rules </w:t>
      </w:r>
      <w:r w:rsidR="00436EEA" w:rsidRPr="00D06D57">
        <w:t xml:space="preserve">should </w:t>
      </w:r>
      <w:r w:rsidR="00A07E70" w:rsidRPr="00D06D57">
        <w:t>provide that a decision to order cost budgeting must carry out a costs/benefit analysis, taking into account the costs and complexity of the case?</w:t>
      </w:r>
      <w:r w:rsidR="00291600" w:rsidRPr="00D06D57">
        <w:t xml:space="preserve"> </w:t>
      </w:r>
      <w:r w:rsidR="00A07E70" w:rsidRPr="00D06D57">
        <w:t xml:space="preserve">Are there </w:t>
      </w:r>
      <w:r w:rsidR="00291600" w:rsidRPr="00D06D57">
        <w:t xml:space="preserve">any </w:t>
      </w:r>
      <w:r w:rsidR="00A07E70" w:rsidRPr="00D06D57">
        <w:t xml:space="preserve">further criteria </w:t>
      </w:r>
      <w:r w:rsidR="00291600" w:rsidRPr="00D06D57">
        <w:t xml:space="preserve">that ought </w:t>
      </w:r>
      <w:r w:rsidR="00A07E70" w:rsidRPr="00D06D57">
        <w:t>to be applied aside from the overriding objective?</w:t>
      </w:r>
      <w:r w:rsidR="006C3DB5" w:rsidRPr="00D06D57">
        <w:t xml:space="preserve"> </w:t>
      </w:r>
      <w:r w:rsidR="00B0226C" w:rsidRPr="00D06D57">
        <w:t xml:space="preserve">If </w:t>
      </w:r>
      <w:r w:rsidR="00605ED5" w:rsidRPr="00D06D57">
        <w:t xml:space="preserve">Respondents consider that </w:t>
      </w:r>
      <w:r w:rsidR="00B0226C" w:rsidRPr="00D06D57">
        <w:t xml:space="preserve">the right </w:t>
      </w:r>
      <w:r w:rsidR="0080252F" w:rsidRPr="00D06D57">
        <w:t xml:space="preserve">general </w:t>
      </w:r>
      <w:r w:rsidR="00B0226C" w:rsidRPr="00D06D57">
        <w:t xml:space="preserve">approach </w:t>
      </w:r>
      <w:r w:rsidR="0080252F" w:rsidRPr="00D06D57">
        <w:t xml:space="preserve">should be </w:t>
      </w:r>
      <w:r w:rsidR="00B0226C" w:rsidRPr="00D06D57">
        <w:t xml:space="preserve">default off, </w:t>
      </w:r>
      <w:r w:rsidR="00605ED5" w:rsidRPr="00D06D57">
        <w:t xml:space="preserve">they may wish </w:t>
      </w:r>
      <w:r w:rsidR="006C7D03" w:rsidRPr="00D06D57">
        <w:t xml:space="preserve">also </w:t>
      </w:r>
      <w:r w:rsidR="00605ED5" w:rsidRPr="00D06D57">
        <w:t xml:space="preserve">to consider whether </w:t>
      </w:r>
      <w:r w:rsidR="00B0226C" w:rsidRPr="00D06D57">
        <w:t xml:space="preserve">there </w:t>
      </w:r>
      <w:r w:rsidR="006C7D03" w:rsidRPr="00D06D57">
        <w:t xml:space="preserve">are </w:t>
      </w:r>
      <w:r w:rsidR="00B0226C" w:rsidRPr="00D06D57">
        <w:t xml:space="preserve">any types of case (identified by subject matter or value) in which the default on rule should </w:t>
      </w:r>
      <w:r w:rsidR="00605ED5" w:rsidRPr="00D06D57">
        <w:t xml:space="preserve">nevertheless </w:t>
      </w:r>
      <w:r w:rsidR="00B0226C" w:rsidRPr="00D06D57">
        <w:t>be retained</w:t>
      </w:r>
      <w:r w:rsidR="00605ED5" w:rsidRPr="00D06D57">
        <w:t>, and if so, why.</w:t>
      </w:r>
    </w:p>
    <w:p w14:paraId="487F4E1E" w14:textId="1A7CACB2" w:rsidR="00B51827" w:rsidRPr="00D06D57" w:rsidRDefault="00627C7D" w:rsidP="00A03C09">
      <w:pPr>
        <w:pStyle w:val="ListParagraph"/>
        <w:ind w:left="567"/>
      </w:pPr>
      <w:r w:rsidRPr="00D06D57">
        <w:lastRenderedPageBreak/>
        <w:t xml:space="preserve">In answering </w:t>
      </w:r>
      <w:r w:rsidR="006C7D03" w:rsidRPr="00D06D57">
        <w:t>Q</w:t>
      </w:r>
      <w:r w:rsidRPr="00D06D57">
        <w:t xml:space="preserve">uestion 1.5, Respondents may wish to consider how </w:t>
      </w:r>
      <w:r w:rsidR="005D5FC5" w:rsidRPr="00D06D57">
        <w:t xml:space="preserve">incurred costs should be dealt with in the context of a costs management exercise </w:t>
      </w:r>
      <w:r w:rsidR="00156A84" w:rsidRPr="00D06D57">
        <w:t>and whether hourly rates should be considered in the context of such an exercise.</w:t>
      </w:r>
      <w:r w:rsidR="006C3DB5" w:rsidRPr="00D06D57">
        <w:t xml:space="preserve"> </w:t>
      </w:r>
      <w:r w:rsidR="00156A84" w:rsidRPr="00D06D57">
        <w:t xml:space="preserve">They may also wish to express their views on who should carry out costs management, whether it should be dealt with by specialist costs judges and whether more training is required </w:t>
      </w:r>
      <w:r w:rsidR="001C187A" w:rsidRPr="00D06D57">
        <w:t>if the present system is to be retained</w:t>
      </w:r>
      <w:r w:rsidR="00156A84" w:rsidRPr="00D06D57">
        <w:t>.</w:t>
      </w:r>
      <w:r w:rsidR="00AC2E54">
        <w:t xml:space="preserve"> </w:t>
      </w:r>
      <w:r w:rsidR="007D19C0" w:rsidRPr="00D06D57">
        <w:t>One practical problem with costs budgeting that has been reported is the lack of consistency overall and</w:t>
      </w:r>
      <w:r w:rsidR="0048737A" w:rsidRPr="00D06D57">
        <w:t>, in particular, the differing approaches to the question of what comes first – identifying the work that needs to be done, or setting the budget with the work then being agreed within that budget?</w:t>
      </w:r>
      <w:r w:rsidR="00AC2E54">
        <w:t xml:space="preserve"> </w:t>
      </w:r>
      <w:r w:rsidR="0048737A" w:rsidRPr="00D06D57">
        <w:t>Respondents may wish to consider the solution to this problem.</w:t>
      </w:r>
    </w:p>
    <w:p w14:paraId="70287C53" w14:textId="77777777" w:rsidR="00B51827" w:rsidRPr="00D06D57" w:rsidRDefault="00B51827" w:rsidP="00A03C09">
      <w:pPr>
        <w:pStyle w:val="Heading1"/>
      </w:pPr>
      <w:r w:rsidRPr="00D06D57">
        <w:t>Part 2 – Guideline Hourly Rates</w:t>
      </w:r>
    </w:p>
    <w:p w14:paraId="730AF575" w14:textId="77777777" w:rsidR="00277242" w:rsidRPr="00D06D57" w:rsidRDefault="00277242" w:rsidP="00A03C09">
      <w:pPr>
        <w:pStyle w:val="ListParagraph"/>
        <w:numPr>
          <w:ilvl w:val="0"/>
          <w:numId w:val="24"/>
        </w:numPr>
        <w:spacing w:after="100" w:afterAutospacing="1" w:line="264" w:lineRule="auto"/>
        <w:mirrorIndents/>
        <w:rPr>
          <w:b/>
          <w:bCs/>
          <w:vanish/>
        </w:rPr>
      </w:pPr>
    </w:p>
    <w:p w14:paraId="3385EF85" w14:textId="77777777" w:rsidR="00277242" w:rsidRPr="00D06D57" w:rsidRDefault="00277242" w:rsidP="00A03C09">
      <w:pPr>
        <w:pStyle w:val="ListParagraph"/>
        <w:numPr>
          <w:ilvl w:val="0"/>
          <w:numId w:val="24"/>
        </w:numPr>
        <w:spacing w:after="100" w:afterAutospacing="1" w:line="264" w:lineRule="auto"/>
        <w:mirrorIndents/>
        <w:rPr>
          <w:b/>
          <w:bCs/>
          <w:vanish/>
        </w:rPr>
      </w:pPr>
    </w:p>
    <w:p w14:paraId="106A40A1" w14:textId="77777777" w:rsidR="00277242" w:rsidRPr="00D06D57" w:rsidRDefault="00B51827" w:rsidP="00A03C09">
      <w:pPr>
        <w:pStyle w:val="ListParagraph"/>
        <w:numPr>
          <w:ilvl w:val="0"/>
          <w:numId w:val="28"/>
        </w:numPr>
        <w:rPr>
          <w:b/>
          <w:bCs/>
        </w:rPr>
      </w:pPr>
      <w:r w:rsidRPr="00D06D57">
        <w:rPr>
          <w:b/>
          <w:bCs/>
        </w:rPr>
        <w:t xml:space="preserve">What is </w:t>
      </w:r>
      <w:r w:rsidR="0061368F" w:rsidRPr="00D06D57">
        <w:rPr>
          <w:b/>
          <w:bCs/>
        </w:rPr>
        <w:t xml:space="preserve">or should be </w:t>
      </w:r>
      <w:r w:rsidRPr="00D06D57">
        <w:rPr>
          <w:b/>
          <w:bCs/>
        </w:rPr>
        <w:t>the purpose of GHRs</w:t>
      </w:r>
      <w:r w:rsidR="0061368F" w:rsidRPr="00D06D57">
        <w:rPr>
          <w:b/>
          <w:bCs/>
        </w:rPr>
        <w:t xml:space="preserve">? </w:t>
      </w:r>
    </w:p>
    <w:p w14:paraId="689016F1" w14:textId="209664B3" w:rsidR="00A023A0" w:rsidRPr="00D06D57" w:rsidRDefault="00A023A0" w:rsidP="00A03C09">
      <w:pPr>
        <w:pStyle w:val="ListParagraph"/>
        <w:numPr>
          <w:ilvl w:val="0"/>
          <w:numId w:val="28"/>
        </w:numPr>
        <w:rPr>
          <w:b/>
          <w:bCs/>
        </w:rPr>
      </w:pPr>
      <w:r w:rsidRPr="00D06D57">
        <w:rPr>
          <w:b/>
          <w:bCs/>
        </w:rPr>
        <w:t xml:space="preserve">Do or should GHRs have </w:t>
      </w:r>
      <w:r w:rsidR="008F0A4D" w:rsidRPr="00D06D57">
        <w:rPr>
          <w:b/>
          <w:bCs/>
        </w:rPr>
        <w:t>a broader role than their current role as a starting point in costs assessments?</w:t>
      </w:r>
      <w:r w:rsidRPr="00D06D57">
        <w:rPr>
          <w:b/>
          <w:bCs/>
        </w:rPr>
        <w:t xml:space="preserve"> </w:t>
      </w:r>
    </w:p>
    <w:p w14:paraId="7ACD057F" w14:textId="77777777" w:rsidR="00A023A0" w:rsidRPr="00D06D57" w:rsidRDefault="00A023A0" w:rsidP="00A03C09">
      <w:pPr>
        <w:pStyle w:val="ListParagraph"/>
        <w:numPr>
          <w:ilvl w:val="0"/>
          <w:numId w:val="28"/>
        </w:numPr>
        <w:rPr>
          <w:b/>
          <w:bCs/>
        </w:rPr>
      </w:pPr>
      <w:r w:rsidRPr="00D06D57">
        <w:rPr>
          <w:b/>
          <w:bCs/>
        </w:rPr>
        <w:t>What would be the wider impact of abandoning GHRs?</w:t>
      </w:r>
    </w:p>
    <w:p w14:paraId="32ED980F" w14:textId="39E3EAD4" w:rsidR="001F327B" w:rsidRPr="00D06D57" w:rsidRDefault="00A023A0" w:rsidP="00A03C09">
      <w:pPr>
        <w:pStyle w:val="ListParagraph"/>
        <w:numPr>
          <w:ilvl w:val="0"/>
          <w:numId w:val="28"/>
        </w:numPr>
        <w:rPr>
          <w:b/>
          <w:bCs/>
        </w:rPr>
      </w:pPr>
      <w:r w:rsidRPr="00D06D57">
        <w:rPr>
          <w:b/>
          <w:bCs/>
        </w:rPr>
        <w:t>Should GHRs be adjusted over time and if so how?</w:t>
      </w:r>
    </w:p>
    <w:p w14:paraId="5496D44B" w14:textId="77777777" w:rsidR="00D53B23" w:rsidRPr="00D06D57" w:rsidRDefault="00D53B23" w:rsidP="00A03C09">
      <w:pPr>
        <w:pStyle w:val="ListParagraph"/>
        <w:numPr>
          <w:ilvl w:val="0"/>
          <w:numId w:val="28"/>
        </w:numPr>
        <w:rPr>
          <w:b/>
          <w:bCs/>
        </w:rPr>
      </w:pPr>
      <w:r w:rsidRPr="00D06D57">
        <w:rPr>
          <w:b/>
          <w:bCs/>
        </w:rPr>
        <w:t>Are there alternatives to the current GHR methodology?</w:t>
      </w:r>
    </w:p>
    <w:p w14:paraId="32B13990" w14:textId="77777777" w:rsidR="00277242" w:rsidRPr="00D06D57" w:rsidRDefault="00277242" w:rsidP="00A03C09">
      <w:pPr>
        <w:pStyle w:val="ListParagraph"/>
        <w:rPr>
          <w:b/>
          <w:bCs/>
        </w:rPr>
      </w:pPr>
    </w:p>
    <w:p w14:paraId="5E580929" w14:textId="6B6BB424" w:rsidR="001F327B" w:rsidRPr="00D06D57" w:rsidRDefault="001F327B" w:rsidP="00A03C09">
      <w:pPr>
        <w:pStyle w:val="ListParagraph"/>
      </w:pPr>
      <w:r w:rsidRPr="00D06D57">
        <w:t xml:space="preserve">In answering </w:t>
      </w:r>
      <w:r w:rsidR="00F23166" w:rsidRPr="00D06D57">
        <w:t>Q</w:t>
      </w:r>
      <w:r w:rsidRPr="00D06D57">
        <w:t xml:space="preserve">uestion 2.1, </w:t>
      </w:r>
      <w:r w:rsidR="00D52EBF" w:rsidRPr="00D06D57">
        <w:t>R</w:t>
      </w:r>
      <w:r w:rsidRPr="00D06D57">
        <w:t>espondents may wish to consider whether summary assessment could be carried out without GHR</w:t>
      </w:r>
      <w:r w:rsidR="00AA547F" w:rsidRPr="00D06D57">
        <w:t>s</w:t>
      </w:r>
      <w:r w:rsidRPr="00D06D57">
        <w:t xml:space="preserve"> or whether their use should </w:t>
      </w:r>
      <w:r w:rsidR="0031470A" w:rsidRPr="00D06D57">
        <w:t xml:space="preserve">be </w:t>
      </w:r>
      <w:r w:rsidRPr="00D06D57">
        <w:t xml:space="preserve">restricted to </w:t>
      </w:r>
      <w:r w:rsidR="008F0A4D" w:rsidRPr="00D06D57">
        <w:t xml:space="preserve">a starting point for </w:t>
      </w:r>
      <w:r w:rsidRPr="00D06D57">
        <w:t>summary assessments and not as a ‘starting point’ for detailed assessment. T</w:t>
      </w:r>
      <w:r w:rsidR="00CA38BC" w:rsidRPr="00D06D57">
        <w:t>hree</w:t>
      </w:r>
      <w:r w:rsidRPr="00D06D57">
        <w:t xml:space="preserve"> other potential issues are </w:t>
      </w:r>
      <w:r w:rsidR="00CA38BC" w:rsidRPr="00D06D57">
        <w:t xml:space="preserve">(i) </w:t>
      </w:r>
      <w:r w:rsidRPr="00D06D57">
        <w:t>the impact of the new value limit for FRC of £100,000 (if any)</w:t>
      </w:r>
      <w:r w:rsidR="00CA38BC" w:rsidRPr="00D06D57">
        <w:t>; (ii)</w:t>
      </w:r>
      <w:r w:rsidRPr="00D06D57">
        <w:t xml:space="preserve"> whether, if there is a place for GHRs, their </w:t>
      </w:r>
      <w:r w:rsidR="00D52EBF" w:rsidRPr="00D06D57">
        <w:t xml:space="preserve">use </w:t>
      </w:r>
      <w:r w:rsidRPr="00D06D57">
        <w:t>may be restricted to certain areas of civil litigation</w:t>
      </w:r>
      <w:r w:rsidR="00D52EBF" w:rsidRPr="00D06D57">
        <w:t xml:space="preserve"> – and if so, which areas</w:t>
      </w:r>
      <w:r w:rsidR="00CA38BC" w:rsidRPr="00D06D57">
        <w:t>; and (iii) whether, if there is a place for GHRs, the question of geography and banding needs to be considered</w:t>
      </w:r>
      <w:r w:rsidRPr="00D06D57">
        <w:t>.</w:t>
      </w:r>
    </w:p>
    <w:p w14:paraId="10781C12" w14:textId="0795D84B" w:rsidR="001F327B" w:rsidRPr="00D06D57" w:rsidRDefault="001F327B" w:rsidP="00A03C09">
      <w:pPr>
        <w:pStyle w:val="ListParagraph"/>
      </w:pPr>
      <w:r w:rsidRPr="00D06D57">
        <w:t xml:space="preserve">In answering </w:t>
      </w:r>
      <w:r w:rsidR="00F23166" w:rsidRPr="00D06D57">
        <w:t>Q</w:t>
      </w:r>
      <w:r w:rsidRPr="00D06D57">
        <w:t xml:space="preserve">uestion 2.2 </w:t>
      </w:r>
      <w:r w:rsidR="00D52EBF" w:rsidRPr="00D06D57">
        <w:t>R</w:t>
      </w:r>
      <w:r w:rsidRPr="00D06D57">
        <w:t>espondents may wish to address whether GHRs have a role in consumer and small business protection in the purchasing of legal services, in the protection of litigants in person, and/or in enabling regulated providers of legal services to comply with their regulatory obligations such as to provide regular costs estimates and transparent pricing for their clients.</w:t>
      </w:r>
      <w:r w:rsidR="006C3DB5" w:rsidRPr="00D06D57">
        <w:t xml:space="preserve"> </w:t>
      </w:r>
      <w:r w:rsidRPr="00D06D57">
        <w:t xml:space="preserve">For any of these roles (or any other role), if GHRs were </w:t>
      </w:r>
      <w:r w:rsidR="00F23166" w:rsidRPr="00D06D57">
        <w:t xml:space="preserve">to be </w:t>
      </w:r>
      <w:r w:rsidRPr="00D06D57">
        <w:t xml:space="preserve">abandoned, </w:t>
      </w:r>
      <w:r w:rsidR="00F23166" w:rsidRPr="00D06D57">
        <w:t>R</w:t>
      </w:r>
      <w:r w:rsidRPr="00D06D57">
        <w:t>espondents may wish to address whether consumers would have the means to gauge the reasonableness of solicitor and own client costs estimates and how regulatory obligations would be complied with.</w:t>
      </w:r>
    </w:p>
    <w:p w14:paraId="3631073B" w14:textId="57A0D653" w:rsidR="001F327B" w:rsidRPr="00D06D57" w:rsidRDefault="001F327B" w:rsidP="00A03C09">
      <w:pPr>
        <w:pStyle w:val="ListParagraph"/>
      </w:pPr>
      <w:r w:rsidRPr="00D06D57">
        <w:t xml:space="preserve">In answering </w:t>
      </w:r>
      <w:r w:rsidR="00F23166" w:rsidRPr="00D06D57">
        <w:t>Q</w:t>
      </w:r>
      <w:r w:rsidRPr="00D06D57">
        <w:t xml:space="preserve">uestion 2.3 </w:t>
      </w:r>
      <w:r w:rsidR="00F23166" w:rsidRPr="00D06D57">
        <w:t>R</w:t>
      </w:r>
      <w:r w:rsidRPr="00D06D57">
        <w:t xml:space="preserve">espondents may wish to consider </w:t>
      </w:r>
      <w:r w:rsidR="000A3FBA" w:rsidRPr="00D06D57">
        <w:t xml:space="preserve">any possible </w:t>
      </w:r>
      <w:r w:rsidRPr="00D06D57">
        <w:t>wider effects on</w:t>
      </w:r>
      <w:r w:rsidR="00CC42CE" w:rsidRPr="00D06D57">
        <w:t xml:space="preserve">, for example, </w:t>
      </w:r>
      <w:r w:rsidRPr="00D06D57">
        <w:t xml:space="preserve">Family </w:t>
      </w:r>
      <w:r w:rsidR="000A3FBA" w:rsidRPr="00D06D57">
        <w:t xml:space="preserve">proceedings </w:t>
      </w:r>
      <w:r w:rsidRPr="00D06D57">
        <w:t xml:space="preserve">or </w:t>
      </w:r>
      <w:r w:rsidR="000A3FBA" w:rsidRPr="00D06D57">
        <w:t xml:space="preserve">proceedings in </w:t>
      </w:r>
      <w:r w:rsidRPr="00D06D57">
        <w:t>the Court of Protection</w:t>
      </w:r>
      <w:r w:rsidR="00CC42CE" w:rsidRPr="00D06D57">
        <w:t xml:space="preserve"> (or anywhere else)</w:t>
      </w:r>
      <w:r w:rsidR="000A3FBA" w:rsidRPr="00D06D57">
        <w:t xml:space="preserve"> together with any potential </w:t>
      </w:r>
      <w:r w:rsidRPr="00D06D57">
        <w:t xml:space="preserve">effects </w:t>
      </w:r>
      <w:r w:rsidR="003D6404" w:rsidRPr="00D06D57">
        <w:t xml:space="preserve">(adverse or otherwise) that may be felt in the </w:t>
      </w:r>
      <w:r w:rsidRPr="00D06D57">
        <w:t>provision of litigation funding or costs insurance protection.</w:t>
      </w:r>
    </w:p>
    <w:p w14:paraId="11EF3D79" w14:textId="244B902E" w:rsidR="001F327B" w:rsidRPr="00D06D57" w:rsidRDefault="001F327B" w:rsidP="00A03C09">
      <w:pPr>
        <w:pStyle w:val="ListParagraph"/>
      </w:pPr>
      <w:r w:rsidRPr="00D06D57">
        <w:t xml:space="preserve">In addressing </w:t>
      </w:r>
      <w:r w:rsidR="003D6404" w:rsidRPr="00D06D57">
        <w:t xml:space="preserve">Question </w:t>
      </w:r>
      <w:r w:rsidRPr="00D06D57">
        <w:t xml:space="preserve">2.4, </w:t>
      </w:r>
      <w:r w:rsidR="003D6404" w:rsidRPr="00D06D57">
        <w:t>R</w:t>
      </w:r>
      <w:r w:rsidRPr="00D06D57">
        <w:t>espondents may wish to address what proportionate ways of adjusting GHRs are available</w:t>
      </w:r>
      <w:r w:rsidR="00874F68" w:rsidRPr="00D06D57">
        <w:t xml:space="preserve"> for the future</w:t>
      </w:r>
      <w:r w:rsidRPr="00D06D57">
        <w:t>.</w:t>
      </w:r>
      <w:r w:rsidR="006C3DB5" w:rsidRPr="00D06D57">
        <w:t xml:space="preserve"> </w:t>
      </w:r>
      <w:r w:rsidR="00874F68" w:rsidRPr="00D06D57">
        <w:t xml:space="preserve">Might adjustment </w:t>
      </w:r>
      <w:r w:rsidRPr="00D06D57">
        <w:t>involve data as to rates allowed on detailed and summary assessments of costs</w:t>
      </w:r>
      <w:r w:rsidR="00DC0695" w:rsidRPr="00D06D57">
        <w:t>? I</w:t>
      </w:r>
      <w:r w:rsidRPr="00D06D57">
        <w:t>f so</w:t>
      </w:r>
      <w:r w:rsidR="00DC0695" w:rsidRPr="00D06D57">
        <w:t>,</w:t>
      </w:r>
      <w:r w:rsidRPr="00D06D57">
        <w:t xml:space="preserve"> what data should be captured, by whom, from whom and how should that be achieved reliably and proportionately? Should indices be used, perhaps with suitable adjustment, </w:t>
      </w:r>
      <w:proofErr w:type="gramStart"/>
      <w:r w:rsidRPr="00D06D57">
        <w:t>e.g.</w:t>
      </w:r>
      <w:proofErr w:type="gramEnd"/>
      <w:r w:rsidRPr="00D06D57">
        <w:t xml:space="preserve"> SPPI</w:t>
      </w:r>
      <w:r w:rsidR="0031470A" w:rsidRPr="00D06D57">
        <w:t xml:space="preserve"> (services producer price inflation)</w:t>
      </w:r>
      <w:r w:rsidRPr="00D06D57">
        <w:t xml:space="preserve"> legal or CPI</w:t>
      </w:r>
      <w:r w:rsidR="0031470A" w:rsidRPr="00D06D57">
        <w:t xml:space="preserve"> (consumer prices index)</w:t>
      </w:r>
      <w:r w:rsidRPr="00D06D57">
        <w:t>? If not, why not</w:t>
      </w:r>
      <w:r w:rsidR="00874F68" w:rsidRPr="00D06D57">
        <w:t>?</w:t>
      </w:r>
      <w:r w:rsidR="006C3DB5" w:rsidRPr="00D06D57">
        <w:t xml:space="preserve"> </w:t>
      </w:r>
    </w:p>
    <w:p w14:paraId="01E70C75" w14:textId="37F2290A" w:rsidR="00854637" w:rsidRPr="00D06D57" w:rsidRDefault="00854637" w:rsidP="006B3FB4">
      <w:pPr>
        <w:pStyle w:val="ListParagraph"/>
      </w:pPr>
      <w:r w:rsidRPr="00D06D57">
        <w:t>In answering 2.5 Respondents may wish to give examples of alternative GHR models and/or methodology.</w:t>
      </w:r>
    </w:p>
    <w:p w14:paraId="175320D9" w14:textId="247CC33A" w:rsidR="00B51827" w:rsidRPr="00D06D57" w:rsidRDefault="00B51827" w:rsidP="00A03C09">
      <w:pPr>
        <w:pStyle w:val="Heading1"/>
      </w:pPr>
      <w:r w:rsidRPr="00D06D57">
        <w:lastRenderedPageBreak/>
        <w:t xml:space="preserve">Part 3 – </w:t>
      </w:r>
      <w:r w:rsidR="00500193" w:rsidRPr="00D06D57">
        <w:t>Costs under p</w:t>
      </w:r>
      <w:r w:rsidRPr="00D06D57">
        <w:t xml:space="preserve">re-action </w:t>
      </w:r>
      <w:r w:rsidR="00500193" w:rsidRPr="00D06D57">
        <w:t xml:space="preserve">protocols/portals </w:t>
      </w:r>
      <w:r w:rsidRPr="00D06D57">
        <w:t xml:space="preserve">and the digital justice system </w:t>
      </w:r>
    </w:p>
    <w:p w14:paraId="12443B7E" w14:textId="512D3F8A" w:rsidR="00A35C14" w:rsidRPr="00D06D57" w:rsidRDefault="00A35C14" w:rsidP="00A03C09">
      <w:pPr>
        <w:pStyle w:val="ListParagraph"/>
        <w:numPr>
          <w:ilvl w:val="0"/>
          <w:numId w:val="29"/>
        </w:numPr>
        <w:rPr>
          <w:b/>
          <w:bCs/>
        </w:rPr>
      </w:pPr>
      <w:r w:rsidRPr="00D06D57">
        <w:rPr>
          <w:b/>
          <w:bCs/>
        </w:rPr>
        <w:t>What are the implications for costs associated with civil justice of the digitisation of dispute resolution?</w:t>
      </w:r>
    </w:p>
    <w:p w14:paraId="15B0016A" w14:textId="1C330F16" w:rsidR="007D6F3C" w:rsidRPr="00D06D57" w:rsidRDefault="007D6F3C" w:rsidP="00A03C09">
      <w:pPr>
        <w:pStyle w:val="ListParagraph"/>
        <w:numPr>
          <w:ilvl w:val="0"/>
          <w:numId w:val="29"/>
        </w:numPr>
        <w:rPr>
          <w:b/>
          <w:bCs/>
        </w:rPr>
      </w:pPr>
      <w:r w:rsidRPr="00D06D57">
        <w:rPr>
          <w:b/>
          <w:bCs/>
        </w:rPr>
        <w:t xml:space="preserve">What is the impact on costs of pre-action protocols and portals? </w:t>
      </w:r>
    </w:p>
    <w:p w14:paraId="0C5B36DF" w14:textId="65F40809" w:rsidR="00750B72" w:rsidRPr="00D06D57" w:rsidRDefault="00750B72" w:rsidP="00A03C09">
      <w:pPr>
        <w:pStyle w:val="ListParagraph"/>
        <w:numPr>
          <w:ilvl w:val="0"/>
          <w:numId w:val="29"/>
        </w:numPr>
        <w:rPr>
          <w:b/>
          <w:bCs/>
        </w:rPr>
      </w:pPr>
      <w:r w:rsidRPr="00D06D57">
        <w:rPr>
          <w:b/>
          <w:bCs/>
        </w:rPr>
        <w:t>Is there a need to reform the processes of assessing costs when a claim settles</w:t>
      </w:r>
      <w:r w:rsidR="0031470A" w:rsidRPr="00D06D57">
        <w:rPr>
          <w:b/>
          <w:bCs/>
        </w:rPr>
        <w:t xml:space="preserve"> </w:t>
      </w:r>
      <w:r w:rsidRPr="00D06D57">
        <w:rPr>
          <w:b/>
          <w:bCs/>
        </w:rPr>
        <w:t xml:space="preserve">before issue, including both solicitor own client costs, and party and party costs? </w:t>
      </w:r>
    </w:p>
    <w:p w14:paraId="23FAD88C" w14:textId="026144AF" w:rsidR="00277242" w:rsidRPr="00D06D57" w:rsidRDefault="00043323" w:rsidP="00A03C09">
      <w:pPr>
        <w:pStyle w:val="ListParagraph"/>
        <w:numPr>
          <w:ilvl w:val="0"/>
          <w:numId w:val="29"/>
        </w:numPr>
        <w:rPr>
          <w:b/>
          <w:bCs/>
        </w:rPr>
      </w:pPr>
      <w:r w:rsidRPr="00D06D57">
        <w:rPr>
          <w:b/>
          <w:bCs/>
        </w:rPr>
        <w:t>What purpose(s) does the current distinction between contentious business and non-contentious business serve? Should it be retained?</w:t>
      </w:r>
      <w:r w:rsidR="006C3DB5" w:rsidRPr="00D06D57">
        <w:rPr>
          <w:b/>
          <w:bCs/>
        </w:rPr>
        <w:t xml:space="preserve"> </w:t>
      </w:r>
    </w:p>
    <w:p w14:paraId="18DC8388" w14:textId="2FBCD29A" w:rsidR="00524C94" w:rsidRPr="00D06D57" w:rsidRDefault="00B07865" w:rsidP="00A03C09">
      <w:pPr>
        <w:pStyle w:val="ListParagraph"/>
      </w:pPr>
      <w:r w:rsidRPr="00D06D57">
        <w:t>In answering Question 3.1, Respondents may wish to consider what impact digital dispute resolution has on costs and what effect the current digital system</w:t>
      </w:r>
      <w:r w:rsidR="00524C94" w:rsidRPr="00D06D57">
        <w:t>s</w:t>
      </w:r>
      <w:r w:rsidRPr="00D06D57">
        <w:t xml:space="preserve"> have.</w:t>
      </w:r>
      <w:r w:rsidR="006C3DB5" w:rsidRPr="00D06D57">
        <w:t xml:space="preserve"> </w:t>
      </w:r>
      <w:r w:rsidRPr="00D06D57">
        <w:t>Is there an impact on the cost for unrepresented litigants? How should those costs be dealt with?</w:t>
      </w:r>
      <w:r w:rsidR="006B3FB4" w:rsidRPr="00D06D57">
        <w:t xml:space="preserve"> Mindful of the cost of repetition, s</w:t>
      </w:r>
      <w:r w:rsidR="0048737A" w:rsidRPr="00D06D57">
        <w:t>hould the development of the digital system prioritise an API</w:t>
      </w:r>
      <w:r w:rsidR="006B3FB4" w:rsidRPr="00D06D57">
        <w:t>, or similar method of sharing information?</w:t>
      </w:r>
      <w:r w:rsidR="0048737A" w:rsidRPr="00D06D57">
        <w:t xml:space="preserve"> What </w:t>
      </w:r>
      <w:r w:rsidR="006B3FB4" w:rsidRPr="00D06D57">
        <w:t>may be the cost</w:t>
      </w:r>
      <w:r w:rsidR="0048737A" w:rsidRPr="00D06D57">
        <w:t xml:space="preserve"> advantages/disadvantages of</w:t>
      </w:r>
      <w:r w:rsidR="006B3FB4" w:rsidRPr="00D06D57">
        <w:t xml:space="preserve"> such</w:t>
      </w:r>
      <w:r w:rsidR="0048737A" w:rsidRPr="00D06D57">
        <w:t xml:space="preserve"> an API </w:t>
      </w:r>
      <w:r w:rsidR="00EB09FE" w:rsidRPr="00D06D57">
        <w:t>for professional users, the court system, the judiciary and litigants in person?</w:t>
      </w:r>
    </w:p>
    <w:p w14:paraId="3D010224" w14:textId="5FEE20B4" w:rsidR="007C3742" w:rsidRPr="00D06D57" w:rsidRDefault="007C3742" w:rsidP="00A03C09">
      <w:pPr>
        <w:pStyle w:val="ListParagraph"/>
      </w:pPr>
      <w:r w:rsidRPr="00D06D57">
        <w:t>In answering question 3.2 Respondents may wish to consider how costs incurred before a case is issued should be governed.</w:t>
      </w:r>
      <w:r w:rsidR="006C3DB5" w:rsidRPr="00D06D57">
        <w:t xml:space="preserve"> </w:t>
      </w:r>
      <w:r w:rsidRPr="00D06D57">
        <w:t xml:space="preserve">They also may wish to address whether more pre-action protocols (and other dispute resolution services) ought to include self-contained rules on party and party costs and if </w:t>
      </w:r>
      <w:r w:rsidR="00DC0695" w:rsidRPr="00D06D57">
        <w:t>so,</w:t>
      </w:r>
      <w:r w:rsidRPr="00D06D57">
        <w:t xml:space="preserve"> what these rules should be.</w:t>
      </w:r>
    </w:p>
    <w:p w14:paraId="7D765A12" w14:textId="7581B1A5" w:rsidR="005D1299" w:rsidRPr="00D06D57" w:rsidRDefault="005D1299" w:rsidP="00A03C09">
      <w:pPr>
        <w:pStyle w:val="ListParagraph"/>
      </w:pPr>
      <w:r w:rsidRPr="00D06D57">
        <w:t xml:space="preserve">In answering Question 3.3, Respondents may wish to consider what reforms are required, whether they apply to all types of claim and whether they ought to apply only </w:t>
      </w:r>
      <w:r w:rsidR="0048737A" w:rsidRPr="00D06D57">
        <w:t xml:space="preserve">to </w:t>
      </w:r>
      <w:r w:rsidRPr="00D06D57">
        <w:t xml:space="preserve">costs owed to providers of legal services. </w:t>
      </w:r>
    </w:p>
    <w:p w14:paraId="05145D3E" w14:textId="739FC357" w:rsidR="004073F8" w:rsidRPr="00D06D57" w:rsidRDefault="004073F8" w:rsidP="00A03C09">
      <w:pPr>
        <w:pStyle w:val="ListParagraph"/>
      </w:pPr>
      <w:r w:rsidRPr="00D06D57">
        <w:t>In answering Question 3.4, Respondents may wish to address whether there are areas in which the distinction between contentious and non-contentious business serves a useful purpose and what the implications would be of removing that distinction.</w:t>
      </w:r>
      <w:r w:rsidR="006C3DB5" w:rsidRPr="00D06D57">
        <w:t xml:space="preserve"> </w:t>
      </w:r>
    </w:p>
    <w:p w14:paraId="35289A57" w14:textId="760CC9AA" w:rsidR="00B51827" w:rsidRPr="00D06D57" w:rsidRDefault="00B51827" w:rsidP="00A03C09">
      <w:pPr>
        <w:pStyle w:val="Heading1"/>
      </w:pPr>
      <w:r w:rsidRPr="00D06D57">
        <w:t xml:space="preserve">Part 4 – </w:t>
      </w:r>
      <w:r w:rsidR="00500193" w:rsidRPr="00D06D57">
        <w:t xml:space="preserve">Consequences of </w:t>
      </w:r>
      <w:r w:rsidRPr="00D06D57">
        <w:t xml:space="preserve">the </w:t>
      </w:r>
      <w:r w:rsidR="00500193" w:rsidRPr="00D06D57">
        <w:t xml:space="preserve">extension of </w:t>
      </w:r>
      <w:r w:rsidRPr="00D06D57">
        <w:t xml:space="preserve">Fixed Recoverable </w:t>
      </w:r>
      <w:r w:rsidR="005E44CC" w:rsidRPr="00D06D57">
        <w:t>C</w:t>
      </w:r>
      <w:r w:rsidRPr="00D06D57">
        <w:t>osts</w:t>
      </w:r>
    </w:p>
    <w:p w14:paraId="097AA5A8" w14:textId="6E685045" w:rsidR="002970CF" w:rsidRPr="00D06D57" w:rsidRDefault="00B51827" w:rsidP="00A03C09">
      <w:pPr>
        <w:pStyle w:val="ListParagraph"/>
        <w:numPr>
          <w:ilvl w:val="0"/>
          <w:numId w:val="35"/>
        </w:numPr>
        <w:rPr>
          <w:b/>
          <w:bCs/>
        </w:rPr>
      </w:pPr>
      <w:r w:rsidRPr="00D06D57">
        <w:rPr>
          <w:b/>
          <w:bCs/>
        </w:rPr>
        <w:t xml:space="preserve">To the extent you have not already </w:t>
      </w:r>
      <w:r w:rsidR="00EB48AC" w:rsidRPr="00D06D57">
        <w:rPr>
          <w:b/>
          <w:bCs/>
        </w:rPr>
        <w:t>commented on this point</w:t>
      </w:r>
      <w:r w:rsidRPr="00D06D57">
        <w:rPr>
          <w:b/>
          <w:bCs/>
        </w:rPr>
        <w:t xml:space="preserve">, what impact do the changes to fixed recoverable costs have on the issues raised in parts 1 to 3 above? </w:t>
      </w:r>
    </w:p>
    <w:p w14:paraId="73ABEA8B" w14:textId="72AB4136" w:rsidR="002970CF" w:rsidRPr="00D06D57" w:rsidRDefault="00B51827" w:rsidP="00A03C09">
      <w:pPr>
        <w:pStyle w:val="ListParagraph"/>
        <w:numPr>
          <w:ilvl w:val="0"/>
          <w:numId w:val="36"/>
        </w:numPr>
        <w:rPr>
          <w:b/>
          <w:bCs/>
        </w:rPr>
      </w:pPr>
      <w:r w:rsidRPr="00D06D57">
        <w:rPr>
          <w:b/>
          <w:bCs/>
        </w:rPr>
        <w:t xml:space="preserve">Are there any other costs issues arising from the extension of fixed recoverable costs, including any other areas in which some form of fixed costs or cost capping scheme may be worthy of consideration? </w:t>
      </w:r>
      <w:r w:rsidR="00146883" w:rsidRPr="00D06D57">
        <w:rPr>
          <w:b/>
          <w:bCs/>
        </w:rPr>
        <w:t>If so</w:t>
      </w:r>
      <w:r w:rsidR="003D7E9F" w:rsidRPr="00D06D57">
        <w:rPr>
          <w:b/>
          <w:bCs/>
        </w:rPr>
        <w:t xml:space="preserve">, </w:t>
      </w:r>
      <w:r w:rsidR="00146883" w:rsidRPr="00D06D57">
        <w:rPr>
          <w:b/>
          <w:bCs/>
        </w:rPr>
        <w:t>please give details.</w:t>
      </w:r>
    </w:p>
    <w:p w14:paraId="72C6DE81" w14:textId="59EBCCB4" w:rsidR="00B0226C" w:rsidRPr="00D06D57" w:rsidRDefault="00B51827" w:rsidP="00A03C09">
      <w:pPr>
        <w:pStyle w:val="ListParagraph"/>
        <w:numPr>
          <w:ilvl w:val="0"/>
          <w:numId w:val="37"/>
        </w:numPr>
        <w:rPr>
          <w:b/>
          <w:bCs/>
        </w:rPr>
      </w:pPr>
      <w:r w:rsidRPr="00D06D57">
        <w:rPr>
          <w:b/>
          <w:bCs/>
        </w:rPr>
        <w:t>Should an extended form of costs capping arrangement be introduced for</w:t>
      </w:r>
      <w:r w:rsidR="00623B86" w:rsidRPr="00D06D57">
        <w:rPr>
          <w:b/>
          <w:bCs/>
        </w:rPr>
        <w:t xml:space="preserve"> particular specialist areas (such as </w:t>
      </w:r>
      <w:r w:rsidRPr="00D06D57">
        <w:rPr>
          <w:b/>
          <w:bCs/>
        </w:rPr>
        <w:t>patent cases</w:t>
      </w:r>
      <w:r w:rsidR="00336280" w:rsidRPr="00D06D57">
        <w:rPr>
          <w:b/>
          <w:bCs/>
        </w:rPr>
        <w:t xml:space="preserve"> or the Shorter Trials Scheme more generally</w:t>
      </w:r>
      <w:r w:rsidR="00623B86" w:rsidRPr="00D06D57">
        <w:rPr>
          <w:b/>
          <w:bCs/>
        </w:rPr>
        <w:t>)</w:t>
      </w:r>
      <w:r w:rsidRPr="00D06D57">
        <w:rPr>
          <w:b/>
          <w:bCs/>
        </w:rPr>
        <w:t>? If so</w:t>
      </w:r>
      <w:r w:rsidR="003D7E9F" w:rsidRPr="00D06D57">
        <w:rPr>
          <w:b/>
          <w:bCs/>
        </w:rPr>
        <w:t xml:space="preserve">, </w:t>
      </w:r>
      <w:r w:rsidRPr="00D06D57">
        <w:rPr>
          <w:b/>
          <w:bCs/>
        </w:rPr>
        <w:t>please give details.</w:t>
      </w:r>
    </w:p>
    <w:p w14:paraId="4618F5D3" w14:textId="71B1F674" w:rsidR="00DB4D8A" w:rsidRPr="00D06D57" w:rsidRDefault="00DB4D8A" w:rsidP="00A03C09">
      <w:pPr>
        <w:pStyle w:val="ListParagraph"/>
      </w:pPr>
      <w:r w:rsidRPr="00D06D57">
        <w:t>In raising these questions, the Working Group is NOT inviting comment on the extension of FRC (which has already been consulted upon), rather it is interested in receiving the views of Respondents on the consequences of the extension of the FRC.</w:t>
      </w:r>
    </w:p>
    <w:sectPr w:rsidR="00DB4D8A" w:rsidRPr="00D06D57" w:rsidSect="00AC2E54">
      <w:headerReference w:type="default" r:id="rId9"/>
      <w:footerReference w:type="even" r:id="rId10"/>
      <w:footerReference w:type="default" r:id="rId11"/>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ACADC" w14:textId="77777777" w:rsidR="0077024A" w:rsidRDefault="0077024A" w:rsidP="0066648F">
      <w:r>
        <w:separator/>
      </w:r>
    </w:p>
  </w:endnote>
  <w:endnote w:type="continuationSeparator" w:id="0">
    <w:p w14:paraId="419C4BF8" w14:textId="77777777" w:rsidR="0077024A" w:rsidRDefault="0077024A" w:rsidP="0066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56521180"/>
      <w:docPartObj>
        <w:docPartGallery w:val="Page Numbers (Bottom of Page)"/>
        <w:docPartUnique/>
      </w:docPartObj>
    </w:sdtPr>
    <w:sdtEndPr>
      <w:rPr>
        <w:rStyle w:val="PageNumber"/>
      </w:rPr>
    </w:sdtEndPr>
    <w:sdtContent>
      <w:p w14:paraId="0D7FD69F" w14:textId="0A8806E4" w:rsidR="00B51827" w:rsidRDefault="00B51827" w:rsidP="00627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7DC1C7" w14:textId="77777777" w:rsidR="00B51827" w:rsidRDefault="00B51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8405834"/>
      <w:docPartObj>
        <w:docPartGallery w:val="Page Numbers (Bottom of Page)"/>
        <w:docPartUnique/>
      </w:docPartObj>
    </w:sdtPr>
    <w:sdtEndPr>
      <w:rPr>
        <w:rStyle w:val="PageNumber"/>
      </w:rPr>
    </w:sdtEndPr>
    <w:sdtContent>
      <w:p w14:paraId="352398B9" w14:textId="2740FF2D" w:rsidR="00B51827" w:rsidRDefault="00B51827" w:rsidP="009A4C84">
        <w:pPr>
          <w:pStyle w:val="Footer"/>
          <w:framePr w:wrap="none" w:vAnchor="text" w:hAnchor="margin" w:xAlign="center"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46B891" w14:textId="77777777" w:rsidR="00B51827" w:rsidRDefault="00B51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E936C" w14:textId="77777777" w:rsidR="0077024A" w:rsidRDefault="0077024A" w:rsidP="0066648F">
      <w:r>
        <w:separator/>
      </w:r>
    </w:p>
  </w:footnote>
  <w:footnote w:type="continuationSeparator" w:id="0">
    <w:p w14:paraId="1E207DF0" w14:textId="77777777" w:rsidR="0077024A" w:rsidRDefault="0077024A" w:rsidP="00666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ECF1" w14:textId="1B9A0766" w:rsidR="009A4C84" w:rsidRDefault="009A4C84" w:rsidP="009A4C84">
    <w:pPr>
      <w:pStyle w:val="Header"/>
      <w:jc w:val="right"/>
    </w:pPr>
    <w:r>
      <w:t xml:space="preserve">CJC Costs </w:t>
    </w:r>
    <w:r w:rsidR="00787BF6">
      <w:t>Consultation</w:t>
    </w:r>
    <w:r w:rsidR="0057324D">
      <w:t xml:space="preserve"> Response</w:t>
    </w:r>
    <w:r>
      <w:t xml:space="preserve"> – </w:t>
    </w:r>
    <w:r w:rsidR="0057324D" w:rsidRPr="00E50E1B">
      <w:rPr>
        <w:b/>
        <w:bCs/>
        <w:color w:val="C00000"/>
      </w:rPr>
      <w:t>[Insert your name or organisation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277"/>
    <w:multiLevelType w:val="multilevel"/>
    <w:tmpl w:val="318C461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605441"/>
    <w:multiLevelType w:val="hybridMultilevel"/>
    <w:tmpl w:val="12EC4B14"/>
    <w:lvl w:ilvl="0" w:tplc="AE58EE20">
      <w:start w:val="1"/>
      <w:numFmt w:val="decimal"/>
      <w:lvlText w:val="%1)"/>
      <w:lvlJc w:val="left"/>
      <w:pPr>
        <w:ind w:left="460" w:hanging="358"/>
      </w:pPr>
      <w:rPr>
        <w:rFonts w:ascii="Calibri" w:eastAsia="Calibri" w:hAnsi="Calibri" w:cs="Calibri" w:hint="default"/>
        <w:spacing w:val="-3"/>
        <w:w w:val="100"/>
        <w:sz w:val="24"/>
        <w:szCs w:val="24"/>
        <w:lang w:val="en-GB" w:eastAsia="en-GB" w:bidi="en-GB"/>
      </w:rPr>
    </w:lvl>
    <w:lvl w:ilvl="1" w:tplc="005625B0">
      <w:numFmt w:val="bullet"/>
      <w:lvlText w:val=""/>
      <w:lvlJc w:val="left"/>
      <w:pPr>
        <w:ind w:left="820" w:hanging="358"/>
      </w:pPr>
      <w:rPr>
        <w:rFonts w:ascii="Symbol" w:eastAsia="Symbol" w:hAnsi="Symbol" w:cs="Symbol" w:hint="default"/>
        <w:w w:val="100"/>
        <w:sz w:val="24"/>
        <w:szCs w:val="24"/>
        <w:lang w:val="en-GB" w:eastAsia="en-GB" w:bidi="en-GB"/>
      </w:rPr>
    </w:lvl>
    <w:lvl w:ilvl="2" w:tplc="506213A6">
      <w:numFmt w:val="bullet"/>
      <w:lvlText w:val="•"/>
      <w:lvlJc w:val="left"/>
      <w:pPr>
        <w:ind w:left="1744" w:hanging="358"/>
      </w:pPr>
      <w:rPr>
        <w:rFonts w:hint="default"/>
        <w:lang w:val="en-GB" w:eastAsia="en-GB" w:bidi="en-GB"/>
      </w:rPr>
    </w:lvl>
    <w:lvl w:ilvl="3" w:tplc="21F2A3AC">
      <w:numFmt w:val="bullet"/>
      <w:lvlText w:val="•"/>
      <w:lvlJc w:val="left"/>
      <w:pPr>
        <w:ind w:left="2668" w:hanging="358"/>
      </w:pPr>
      <w:rPr>
        <w:rFonts w:hint="default"/>
        <w:lang w:val="en-GB" w:eastAsia="en-GB" w:bidi="en-GB"/>
      </w:rPr>
    </w:lvl>
    <w:lvl w:ilvl="4" w:tplc="76F4D924">
      <w:numFmt w:val="bullet"/>
      <w:lvlText w:val="•"/>
      <w:lvlJc w:val="left"/>
      <w:pPr>
        <w:ind w:left="3593" w:hanging="358"/>
      </w:pPr>
      <w:rPr>
        <w:rFonts w:hint="default"/>
        <w:lang w:val="en-GB" w:eastAsia="en-GB" w:bidi="en-GB"/>
      </w:rPr>
    </w:lvl>
    <w:lvl w:ilvl="5" w:tplc="F0C8D90E">
      <w:numFmt w:val="bullet"/>
      <w:lvlText w:val="•"/>
      <w:lvlJc w:val="left"/>
      <w:pPr>
        <w:ind w:left="4517" w:hanging="358"/>
      </w:pPr>
      <w:rPr>
        <w:rFonts w:hint="default"/>
        <w:lang w:val="en-GB" w:eastAsia="en-GB" w:bidi="en-GB"/>
      </w:rPr>
    </w:lvl>
    <w:lvl w:ilvl="6" w:tplc="977E428C">
      <w:numFmt w:val="bullet"/>
      <w:lvlText w:val="•"/>
      <w:lvlJc w:val="left"/>
      <w:pPr>
        <w:ind w:left="5441" w:hanging="358"/>
      </w:pPr>
      <w:rPr>
        <w:rFonts w:hint="default"/>
        <w:lang w:val="en-GB" w:eastAsia="en-GB" w:bidi="en-GB"/>
      </w:rPr>
    </w:lvl>
    <w:lvl w:ilvl="7" w:tplc="7FCE71C6">
      <w:numFmt w:val="bullet"/>
      <w:lvlText w:val="•"/>
      <w:lvlJc w:val="left"/>
      <w:pPr>
        <w:ind w:left="6366" w:hanging="358"/>
      </w:pPr>
      <w:rPr>
        <w:rFonts w:hint="default"/>
        <w:lang w:val="en-GB" w:eastAsia="en-GB" w:bidi="en-GB"/>
      </w:rPr>
    </w:lvl>
    <w:lvl w:ilvl="8" w:tplc="58B6CFAC">
      <w:numFmt w:val="bullet"/>
      <w:lvlText w:val="•"/>
      <w:lvlJc w:val="left"/>
      <w:pPr>
        <w:ind w:left="7290" w:hanging="358"/>
      </w:pPr>
      <w:rPr>
        <w:rFonts w:hint="default"/>
        <w:lang w:val="en-GB" w:eastAsia="en-GB" w:bidi="en-GB"/>
      </w:rPr>
    </w:lvl>
  </w:abstractNum>
  <w:abstractNum w:abstractNumId="2" w15:restartNumberingAfterBreak="0">
    <w:nsid w:val="065463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6150B"/>
    <w:multiLevelType w:val="multilevel"/>
    <w:tmpl w:val="D8D863E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FC07E4C"/>
    <w:multiLevelType w:val="multilevel"/>
    <w:tmpl w:val="1BA85F9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135FC"/>
    <w:multiLevelType w:val="multilevel"/>
    <w:tmpl w:val="B37E61C8"/>
    <w:lvl w:ilvl="0">
      <w:start w:val="1"/>
      <w:numFmt w:val="none"/>
      <w:lvlText w:val="4.1"/>
      <w:lvlJc w:val="right"/>
      <w:pPr>
        <w:ind w:left="720" w:hanging="360"/>
      </w:pPr>
      <w:rPr>
        <w:rFonts w:asciiTheme="minorHAnsi" w:eastAsiaTheme="minorHAnsi" w:hAnsiTheme="minorHAnsi" w:cstheme="minorBidi"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6502CD"/>
    <w:multiLevelType w:val="multilevel"/>
    <w:tmpl w:val="8578AC0C"/>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83818"/>
    <w:multiLevelType w:val="hybridMultilevel"/>
    <w:tmpl w:val="40B23644"/>
    <w:lvl w:ilvl="0" w:tplc="126E5D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5F744F"/>
    <w:multiLevelType w:val="multilevel"/>
    <w:tmpl w:val="34144EE4"/>
    <w:lvl w:ilvl="0">
      <w:start w:val="1"/>
      <w:numFmt w:val="none"/>
      <w:lvlText w:val="4.2"/>
      <w:lvlJc w:val="right"/>
      <w:pPr>
        <w:ind w:left="720" w:hanging="360"/>
      </w:pPr>
      <w:rPr>
        <w:rFonts w:asciiTheme="minorHAnsi" w:eastAsiaTheme="minorHAnsi" w:hAnsiTheme="minorHAnsi" w:cstheme="minorBidi"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8F64523"/>
    <w:multiLevelType w:val="hybridMultilevel"/>
    <w:tmpl w:val="1CFEB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861B90"/>
    <w:multiLevelType w:val="hybridMultilevel"/>
    <w:tmpl w:val="44CA7580"/>
    <w:lvl w:ilvl="0" w:tplc="5ADADD80">
      <w:start w:val="1"/>
      <w:numFmt w:val="decimal"/>
      <w:lvlText w:val="3.%1"/>
      <w:lvlJc w:val="right"/>
      <w:pPr>
        <w:ind w:left="720" w:hanging="360"/>
      </w:pPr>
      <w:rPr>
        <w:rFonts w:asciiTheme="minorHAnsi" w:eastAsiaTheme="minorHAnsi" w:hAnsiTheme="minorHAnsi" w:cstheme="minorBidi"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7695E"/>
    <w:multiLevelType w:val="multilevel"/>
    <w:tmpl w:val="3AB6B3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B920A6"/>
    <w:multiLevelType w:val="hybridMultilevel"/>
    <w:tmpl w:val="60CCDE50"/>
    <w:lvl w:ilvl="0" w:tplc="45647C10">
      <w:start w:val="1"/>
      <w:numFmt w:val="decimal"/>
      <w:lvlText w:val="1.%1"/>
      <w:lvlJc w:val="left"/>
      <w:pPr>
        <w:ind w:left="720" w:hanging="360"/>
      </w:pPr>
      <w:rPr>
        <w:rFonts w:asciiTheme="minorHAnsi" w:eastAsiaTheme="minorHAnsi" w:hAnsiTheme="minorHAnsi" w:cstheme="minorBidi"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196B5E"/>
    <w:multiLevelType w:val="multilevel"/>
    <w:tmpl w:val="94CE22D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C83707"/>
    <w:multiLevelType w:val="hybridMultilevel"/>
    <w:tmpl w:val="908019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250148"/>
    <w:multiLevelType w:val="multilevel"/>
    <w:tmpl w:val="0DA830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BC7260E"/>
    <w:multiLevelType w:val="hybridMultilevel"/>
    <w:tmpl w:val="36420D66"/>
    <w:lvl w:ilvl="0" w:tplc="FA063ECA">
      <w:start w:val="1"/>
      <w:numFmt w:val="decimal"/>
      <w:lvlText w:val="2.%1"/>
      <w:lvlJc w:val="right"/>
      <w:pPr>
        <w:ind w:left="720" w:hanging="360"/>
      </w:pPr>
      <w:rPr>
        <w:rFonts w:asciiTheme="minorHAnsi" w:eastAsiaTheme="minorHAnsi" w:hAnsiTheme="minorHAnsi" w:cstheme="minorBidi"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BF35E0"/>
    <w:multiLevelType w:val="hybridMultilevel"/>
    <w:tmpl w:val="43685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474A9"/>
    <w:multiLevelType w:val="multilevel"/>
    <w:tmpl w:val="9708B4F8"/>
    <w:lvl w:ilvl="0">
      <w:start w:val="1"/>
      <w:numFmt w:val="lowerRoman"/>
      <w:lvlText w:val="%1."/>
      <w:lvlJc w:val="right"/>
      <w:pPr>
        <w:ind w:left="1440" w:hanging="360"/>
      </w:pPr>
      <w:rPr>
        <w:rFonts w:hint="default"/>
        <w:b w:val="0"/>
        <w:bCs w:val="0"/>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325F2588"/>
    <w:multiLevelType w:val="hybridMultilevel"/>
    <w:tmpl w:val="06ECC45C"/>
    <w:lvl w:ilvl="0" w:tplc="FA063ECA">
      <w:start w:val="1"/>
      <w:numFmt w:val="decimal"/>
      <w:lvlText w:val="2.%1"/>
      <w:lvlJc w:val="right"/>
      <w:pPr>
        <w:ind w:left="720" w:hanging="360"/>
      </w:pPr>
      <w:rPr>
        <w:rFonts w:asciiTheme="minorHAnsi" w:eastAsiaTheme="minorHAnsi" w:hAnsiTheme="minorHAnsi" w:cstheme="minorBidi"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881E2F"/>
    <w:multiLevelType w:val="hybridMultilevel"/>
    <w:tmpl w:val="A0205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E56849"/>
    <w:multiLevelType w:val="multilevel"/>
    <w:tmpl w:val="FE4E7B66"/>
    <w:lvl w:ilvl="0">
      <w:start w:val="1"/>
      <w:numFmt w:val="decimal"/>
      <w:lvlText w:val="%1."/>
      <w:lvlJc w:val="left"/>
      <w:pPr>
        <w:ind w:left="720" w:hanging="360"/>
      </w:pPr>
      <w:rPr>
        <w:rFonts w:hint="default"/>
        <w:b w:val="0"/>
        <w:bCs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BB25926"/>
    <w:multiLevelType w:val="multilevel"/>
    <w:tmpl w:val="B9428D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2B55F7"/>
    <w:multiLevelType w:val="multilevel"/>
    <w:tmpl w:val="FE4E7B66"/>
    <w:lvl w:ilvl="0">
      <w:start w:val="1"/>
      <w:numFmt w:val="decimal"/>
      <w:lvlText w:val="%1."/>
      <w:lvlJc w:val="left"/>
      <w:pPr>
        <w:ind w:left="720" w:hanging="360"/>
      </w:pPr>
      <w:rPr>
        <w:rFonts w:hint="default"/>
        <w:b w:val="0"/>
        <w:bCs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947623A"/>
    <w:multiLevelType w:val="hybridMultilevel"/>
    <w:tmpl w:val="70D071D2"/>
    <w:lvl w:ilvl="0" w:tplc="5ADADD80">
      <w:start w:val="1"/>
      <w:numFmt w:val="decimal"/>
      <w:lvlText w:val="3.%1"/>
      <w:lvlJc w:val="right"/>
      <w:pPr>
        <w:ind w:left="720" w:hanging="360"/>
      </w:pPr>
      <w:rPr>
        <w:rFonts w:asciiTheme="minorHAnsi" w:eastAsiaTheme="minorHAnsi" w:hAnsiTheme="minorHAnsi" w:cstheme="minorBidi"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DF2979"/>
    <w:multiLevelType w:val="hybridMultilevel"/>
    <w:tmpl w:val="5E0412C8"/>
    <w:lvl w:ilvl="0" w:tplc="D45EBBF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16674E"/>
    <w:multiLevelType w:val="hybridMultilevel"/>
    <w:tmpl w:val="470C02C2"/>
    <w:lvl w:ilvl="0" w:tplc="34620D04">
      <w:start w:val="1"/>
      <w:numFmt w:val="decimal"/>
      <w:pStyle w:val="Numberedpara"/>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C3B2B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AB1AE2"/>
    <w:multiLevelType w:val="hybridMultilevel"/>
    <w:tmpl w:val="0608CE9C"/>
    <w:lvl w:ilvl="0" w:tplc="45647C10">
      <w:start w:val="1"/>
      <w:numFmt w:val="decimal"/>
      <w:lvlText w:val="1.%1"/>
      <w:lvlJc w:val="left"/>
      <w:pPr>
        <w:ind w:left="720" w:hanging="360"/>
      </w:pPr>
      <w:rPr>
        <w:rFonts w:asciiTheme="minorHAnsi" w:eastAsiaTheme="minorHAnsi" w:hAnsiTheme="minorHAnsi" w:cstheme="minorBidi"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2A1484"/>
    <w:multiLevelType w:val="hybridMultilevel"/>
    <w:tmpl w:val="A5A09166"/>
    <w:lvl w:ilvl="0" w:tplc="FA063ECA">
      <w:start w:val="1"/>
      <w:numFmt w:val="decimal"/>
      <w:lvlText w:val="2.%1"/>
      <w:lvlJc w:val="right"/>
      <w:pPr>
        <w:ind w:left="720" w:hanging="360"/>
      </w:pPr>
      <w:rPr>
        <w:rFonts w:asciiTheme="minorHAnsi" w:eastAsiaTheme="minorHAnsi" w:hAnsiTheme="minorHAnsi" w:cstheme="minorBidi"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717FC0"/>
    <w:multiLevelType w:val="multilevel"/>
    <w:tmpl w:val="45343CAA"/>
    <w:lvl w:ilvl="0">
      <w:start w:val="1"/>
      <w:numFmt w:val="none"/>
      <w:lvlText w:val="4.3"/>
      <w:lvlJc w:val="right"/>
      <w:pPr>
        <w:ind w:left="720" w:hanging="360"/>
      </w:pPr>
      <w:rPr>
        <w:rFonts w:asciiTheme="minorHAnsi" w:eastAsiaTheme="minorHAnsi" w:hAnsiTheme="minorHAnsi" w:cstheme="minorBidi"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716080E"/>
    <w:multiLevelType w:val="multilevel"/>
    <w:tmpl w:val="D4CE805C"/>
    <w:lvl w:ilvl="0">
      <w:start w:val="1"/>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082CF5"/>
    <w:multiLevelType w:val="multilevel"/>
    <w:tmpl w:val="0DA830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DD138D7"/>
    <w:multiLevelType w:val="hybridMultilevel"/>
    <w:tmpl w:val="84504EF2"/>
    <w:lvl w:ilvl="0" w:tplc="5ADADD80">
      <w:start w:val="1"/>
      <w:numFmt w:val="decimal"/>
      <w:lvlText w:val="3.%1"/>
      <w:lvlJc w:val="right"/>
      <w:pPr>
        <w:ind w:left="720" w:hanging="360"/>
      </w:pPr>
      <w:rPr>
        <w:rFonts w:asciiTheme="minorHAnsi" w:eastAsiaTheme="minorHAnsi" w:hAnsiTheme="minorHAnsi" w:cstheme="minorBidi"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2A72E8"/>
    <w:multiLevelType w:val="hybridMultilevel"/>
    <w:tmpl w:val="FE3A86E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6DC1A55"/>
    <w:multiLevelType w:val="multilevel"/>
    <w:tmpl w:val="EF32FCD6"/>
    <w:lvl w:ilvl="0">
      <w:start w:val="1"/>
      <w:numFmt w:val="upperRoman"/>
      <w:lvlText w:val="%1."/>
      <w:lvlJc w:val="left"/>
      <w:pPr>
        <w:ind w:left="720" w:hanging="360"/>
      </w:pPr>
      <w:rPr>
        <w:rFonts w:hint="default"/>
        <w:b w:val="0"/>
        <w:bCs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7857709"/>
    <w:multiLevelType w:val="multilevel"/>
    <w:tmpl w:val="CA546C6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92837C5"/>
    <w:multiLevelType w:val="hybridMultilevel"/>
    <w:tmpl w:val="6A1C0CB4"/>
    <w:lvl w:ilvl="0" w:tplc="5ADADD80">
      <w:start w:val="1"/>
      <w:numFmt w:val="decimal"/>
      <w:lvlText w:val="3.%1"/>
      <w:lvlJc w:val="right"/>
      <w:pPr>
        <w:ind w:left="720" w:hanging="360"/>
      </w:pPr>
      <w:rPr>
        <w:rFonts w:asciiTheme="minorHAnsi" w:eastAsiaTheme="minorHAnsi" w:hAnsiTheme="minorHAnsi" w:cstheme="minorBidi"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
  </w:num>
  <w:num w:numId="3">
    <w:abstractNumId w:val="20"/>
  </w:num>
  <w:num w:numId="4">
    <w:abstractNumId w:val="32"/>
  </w:num>
  <w:num w:numId="5">
    <w:abstractNumId w:val="7"/>
  </w:num>
  <w:num w:numId="6">
    <w:abstractNumId w:val="17"/>
  </w:num>
  <w:num w:numId="7">
    <w:abstractNumId w:val="25"/>
  </w:num>
  <w:num w:numId="8">
    <w:abstractNumId w:val="14"/>
  </w:num>
  <w:num w:numId="9">
    <w:abstractNumId w:val="35"/>
  </w:num>
  <w:num w:numId="10">
    <w:abstractNumId w:val="18"/>
  </w:num>
  <w:num w:numId="11">
    <w:abstractNumId w:val="15"/>
  </w:num>
  <w:num w:numId="12">
    <w:abstractNumId w:val="11"/>
  </w:num>
  <w:num w:numId="13">
    <w:abstractNumId w:val="4"/>
  </w:num>
  <w:num w:numId="14">
    <w:abstractNumId w:val="22"/>
  </w:num>
  <w:num w:numId="15">
    <w:abstractNumId w:val="36"/>
  </w:num>
  <w:num w:numId="16">
    <w:abstractNumId w:val="3"/>
  </w:num>
  <w:num w:numId="17">
    <w:abstractNumId w:val="0"/>
  </w:num>
  <w:num w:numId="18">
    <w:abstractNumId w:val="13"/>
  </w:num>
  <w:num w:numId="19">
    <w:abstractNumId w:val="21"/>
  </w:num>
  <w:num w:numId="20">
    <w:abstractNumId w:val="31"/>
  </w:num>
  <w:num w:numId="21">
    <w:abstractNumId w:val="2"/>
  </w:num>
  <w:num w:numId="22">
    <w:abstractNumId w:val="6"/>
  </w:num>
  <w:num w:numId="23">
    <w:abstractNumId w:val="26"/>
  </w:num>
  <w:num w:numId="24">
    <w:abstractNumId w:val="27"/>
  </w:num>
  <w:num w:numId="25">
    <w:abstractNumId w:val="12"/>
  </w:num>
  <w:num w:numId="26">
    <w:abstractNumId w:val="28"/>
  </w:num>
  <w:num w:numId="27">
    <w:abstractNumId w:val="19"/>
  </w:num>
  <w:num w:numId="28">
    <w:abstractNumId w:val="29"/>
  </w:num>
  <w:num w:numId="29">
    <w:abstractNumId w:val="24"/>
  </w:num>
  <w:num w:numId="30">
    <w:abstractNumId w:val="33"/>
  </w:num>
  <w:num w:numId="31">
    <w:abstractNumId w:val="37"/>
  </w:num>
  <w:num w:numId="32">
    <w:abstractNumId w:val="16"/>
  </w:num>
  <w:num w:numId="33">
    <w:abstractNumId w:val="9"/>
  </w:num>
  <w:num w:numId="34">
    <w:abstractNumId w:val="10"/>
  </w:num>
  <w:num w:numId="35">
    <w:abstractNumId w:val="5"/>
  </w:num>
  <w:num w:numId="36">
    <w:abstractNumId w:val="8"/>
  </w:num>
  <w:num w:numId="37">
    <w:abstractNumId w:val="30"/>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BD"/>
    <w:rsid w:val="00005246"/>
    <w:rsid w:val="000057CE"/>
    <w:rsid w:val="00010591"/>
    <w:rsid w:val="0002326F"/>
    <w:rsid w:val="0002798D"/>
    <w:rsid w:val="000300B0"/>
    <w:rsid w:val="00043323"/>
    <w:rsid w:val="00054AC9"/>
    <w:rsid w:val="000577A1"/>
    <w:rsid w:val="00083096"/>
    <w:rsid w:val="000A3FBA"/>
    <w:rsid w:val="000A4551"/>
    <w:rsid w:val="000A7775"/>
    <w:rsid w:val="000C0508"/>
    <w:rsid w:val="000E1221"/>
    <w:rsid w:val="000E57BF"/>
    <w:rsid w:val="000E60EF"/>
    <w:rsid w:val="000F226C"/>
    <w:rsid w:val="000F2359"/>
    <w:rsid w:val="000F65E3"/>
    <w:rsid w:val="00101550"/>
    <w:rsid w:val="00105C8A"/>
    <w:rsid w:val="00114B0F"/>
    <w:rsid w:val="00124203"/>
    <w:rsid w:val="0013193A"/>
    <w:rsid w:val="001337A4"/>
    <w:rsid w:val="00133DB9"/>
    <w:rsid w:val="00146883"/>
    <w:rsid w:val="00146BEE"/>
    <w:rsid w:val="00153734"/>
    <w:rsid w:val="00156A84"/>
    <w:rsid w:val="001756AA"/>
    <w:rsid w:val="0018305E"/>
    <w:rsid w:val="001863F7"/>
    <w:rsid w:val="00195A3F"/>
    <w:rsid w:val="001B74BC"/>
    <w:rsid w:val="001C187A"/>
    <w:rsid w:val="001C25E9"/>
    <w:rsid w:val="001C42D1"/>
    <w:rsid w:val="001D4C1F"/>
    <w:rsid w:val="001E3311"/>
    <w:rsid w:val="001F327B"/>
    <w:rsid w:val="001F4814"/>
    <w:rsid w:val="00212D3C"/>
    <w:rsid w:val="00223AE6"/>
    <w:rsid w:val="002325A0"/>
    <w:rsid w:val="002374BC"/>
    <w:rsid w:val="00241878"/>
    <w:rsid w:val="00242326"/>
    <w:rsid w:val="00251D17"/>
    <w:rsid w:val="00270F57"/>
    <w:rsid w:val="00277242"/>
    <w:rsid w:val="00281BBD"/>
    <w:rsid w:val="0028473C"/>
    <w:rsid w:val="00285041"/>
    <w:rsid w:val="00290ABA"/>
    <w:rsid w:val="00291600"/>
    <w:rsid w:val="002930BC"/>
    <w:rsid w:val="00296A48"/>
    <w:rsid w:val="002970CF"/>
    <w:rsid w:val="002B38FC"/>
    <w:rsid w:val="002C141B"/>
    <w:rsid w:val="002C1AE4"/>
    <w:rsid w:val="002C7534"/>
    <w:rsid w:val="002D0AAA"/>
    <w:rsid w:val="002D65B8"/>
    <w:rsid w:val="002E2FF9"/>
    <w:rsid w:val="002E4419"/>
    <w:rsid w:val="002F58C9"/>
    <w:rsid w:val="00302449"/>
    <w:rsid w:val="0031470A"/>
    <w:rsid w:val="00315066"/>
    <w:rsid w:val="00320E7D"/>
    <w:rsid w:val="00334AC1"/>
    <w:rsid w:val="00336280"/>
    <w:rsid w:val="00337BD1"/>
    <w:rsid w:val="00350BDC"/>
    <w:rsid w:val="003527BF"/>
    <w:rsid w:val="0036157B"/>
    <w:rsid w:val="00370840"/>
    <w:rsid w:val="0037693C"/>
    <w:rsid w:val="00380C30"/>
    <w:rsid w:val="00382B5E"/>
    <w:rsid w:val="00386294"/>
    <w:rsid w:val="00391EE0"/>
    <w:rsid w:val="003A095C"/>
    <w:rsid w:val="003B3241"/>
    <w:rsid w:val="003D2346"/>
    <w:rsid w:val="003D6404"/>
    <w:rsid w:val="003D7E9F"/>
    <w:rsid w:val="00401248"/>
    <w:rsid w:val="004057CC"/>
    <w:rsid w:val="004073F8"/>
    <w:rsid w:val="00407B98"/>
    <w:rsid w:val="004104F5"/>
    <w:rsid w:val="00426C2E"/>
    <w:rsid w:val="00434043"/>
    <w:rsid w:val="00436EEA"/>
    <w:rsid w:val="004706C8"/>
    <w:rsid w:val="0047477D"/>
    <w:rsid w:val="00474892"/>
    <w:rsid w:val="0047760D"/>
    <w:rsid w:val="00481A4C"/>
    <w:rsid w:val="004820E6"/>
    <w:rsid w:val="0048737A"/>
    <w:rsid w:val="00490C85"/>
    <w:rsid w:val="00494472"/>
    <w:rsid w:val="004A4D17"/>
    <w:rsid w:val="004A7E0D"/>
    <w:rsid w:val="004B3334"/>
    <w:rsid w:val="004B4998"/>
    <w:rsid w:val="004B546E"/>
    <w:rsid w:val="004C5B87"/>
    <w:rsid w:val="004D2642"/>
    <w:rsid w:val="004D572A"/>
    <w:rsid w:val="004D5EB0"/>
    <w:rsid w:val="004E22B2"/>
    <w:rsid w:val="004E2B7F"/>
    <w:rsid w:val="004E478D"/>
    <w:rsid w:val="004E4CE5"/>
    <w:rsid w:val="004F2587"/>
    <w:rsid w:val="004F5C92"/>
    <w:rsid w:val="00500193"/>
    <w:rsid w:val="00504D7A"/>
    <w:rsid w:val="00512261"/>
    <w:rsid w:val="00515DCE"/>
    <w:rsid w:val="00520604"/>
    <w:rsid w:val="00523C2A"/>
    <w:rsid w:val="00524C94"/>
    <w:rsid w:val="00525A5F"/>
    <w:rsid w:val="00530C8E"/>
    <w:rsid w:val="00532CA6"/>
    <w:rsid w:val="005511C0"/>
    <w:rsid w:val="0055232A"/>
    <w:rsid w:val="00552C0F"/>
    <w:rsid w:val="00553067"/>
    <w:rsid w:val="005559CC"/>
    <w:rsid w:val="00555A58"/>
    <w:rsid w:val="00562D91"/>
    <w:rsid w:val="00566E8C"/>
    <w:rsid w:val="00571571"/>
    <w:rsid w:val="0057324D"/>
    <w:rsid w:val="00574B0A"/>
    <w:rsid w:val="00577B75"/>
    <w:rsid w:val="00581AA7"/>
    <w:rsid w:val="00582190"/>
    <w:rsid w:val="00597E3D"/>
    <w:rsid w:val="005A4F0E"/>
    <w:rsid w:val="005A537D"/>
    <w:rsid w:val="005A7014"/>
    <w:rsid w:val="005A7602"/>
    <w:rsid w:val="005C5C37"/>
    <w:rsid w:val="005D1299"/>
    <w:rsid w:val="005D5FC5"/>
    <w:rsid w:val="005D707F"/>
    <w:rsid w:val="005E4211"/>
    <w:rsid w:val="005E44CC"/>
    <w:rsid w:val="00602925"/>
    <w:rsid w:val="00605ED5"/>
    <w:rsid w:val="00606718"/>
    <w:rsid w:val="0061177E"/>
    <w:rsid w:val="006119AC"/>
    <w:rsid w:val="0061368F"/>
    <w:rsid w:val="00623B86"/>
    <w:rsid w:val="006242B3"/>
    <w:rsid w:val="0062459A"/>
    <w:rsid w:val="00627C7D"/>
    <w:rsid w:val="006330A2"/>
    <w:rsid w:val="006348F8"/>
    <w:rsid w:val="00643C3F"/>
    <w:rsid w:val="00651ED2"/>
    <w:rsid w:val="006622DF"/>
    <w:rsid w:val="00662602"/>
    <w:rsid w:val="0066648F"/>
    <w:rsid w:val="006676A5"/>
    <w:rsid w:val="006807E5"/>
    <w:rsid w:val="00687DC9"/>
    <w:rsid w:val="006944F6"/>
    <w:rsid w:val="006A3EC1"/>
    <w:rsid w:val="006A5E3D"/>
    <w:rsid w:val="006B3FB4"/>
    <w:rsid w:val="006B48BE"/>
    <w:rsid w:val="006C3DB5"/>
    <w:rsid w:val="006C7D03"/>
    <w:rsid w:val="006E1425"/>
    <w:rsid w:val="006E36D5"/>
    <w:rsid w:val="006E4B3B"/>
    <w:rsid w:val="00700BD9"/>
    <w:rsid w:val="00701780"/>
    <w:rsid w:val="007149E7"/>
    <w:rsid w:val="007340B3"/>
    <w:rsid w:val="00734A95"/>
    <w:rsid w:val="00736FF2"/>
    <w:rsid w:val="00740155"/>
    <w:rsid w:val="00741096"/>
    <w:rsid w:val="007424FC"/>
    <w:rsid w:val="00750B72"/>
    <w:rsid w:val="0077024A"/>
    <w:rsid w:val="00772694"/>
    <w:rsid w:val="00776130"/>
    <w:rsid w:val="007849A5"/>
    <w:rsid w:val="007857A1"/>
    <w:rsid w:val="00787BF6"/>
    <w:rsid w:val="00791CA3"/>
    <w:rsid w:val="00796BFE"/>
    <w:rsid w:val="007C0989"/>
    <w:rsid w:val="007C3742"/>
    <w:rsid w:val="007D18CF"/>
    <w:rsid w:val="007D19C0"/>
    <w:rsid w:val="007D6F3C"/>
    <w:rsid w:val="007E2361"/>
    <w:rsid w:val="007E2E8C"/>
    <w:rsid w:val="007E581F"/>
    <w:rsid w:val="00801343"/>
    <w:rsid w:val="0080252F"/>
    <w:rsid w:val="00803F40"/>
    <w:rsid w:val="008067C2"/>
    <w:rsid w:val="00806C9D"/>
    <w:rsid w:val="0081079B"/>
    <w:rsid w:val="0081234E"/>
    <w:rsid w:val="00830E96"/>
    <w:rsid w:val="00831DA3"/>
    <w:rsid w:val="00833B4F"/>
    <w:rsid w:val="00835136"/>
    <w:rsid w:val="00854637"/>
    <w:rsid w:val="00854818"/>
    <w:rsid w:val="0085761A"/>
    <w:rsid w:val="00874F68"/>
    <w:rsid w:val="00876C6B"/>
    <w:rsid w:val="00884E21"/>
    <w:rsid w:val="00890A68"/>
    <w:rsid w:val="00895A68"/>
    <w:rsid w:val="0089737A"/>
    <w:rsid w:val="008A1E6F"/>
    <w:rsid w:val="008A3642"/>
    <w:rsid w:val="008A51F4"/>
    <w:rsid w:val="008A7D68"/>
    <w:rsid w:val="008B2314"/>
    <w:rsid w:val="008B4B55"/>
    <w:rsid w:val="008B7915"/>
    <w:rsid w:val="008D59C1"/>
    <w:rsid w:val="008D6FFF"/>
    <w:rsid w:val="008F0A4D"/>
    <w:rsid w:val="00902D60"/>
    <w:rsid w:val="00916E90"/>
    <w:rsid w:val="0091787F"/>
    <w:rsid w:val="009301B7"/>
    <w:rsid w:val="00934707"/>
    <w:rsid w:val="009427C2"/>
    <w:rsid w:val="00946C6A"/>
    <w:rsid w:val="00953107"/>
    <w:rsid w:val="009747DB"/>
    <w:rsid w:val="009A234A"/>
    <w:rsid w:val="009A4C84"/>
    <w:rsid w:val="009A4DC9"/>
    <w:rsid w:val="009B1012"/>
    <w:rsid w:val="009C58EB"/>
    <w:rsid w:val="009D5B01"/>
    <w:rsid w:val="009D6B53"/>
    <w:rsid w:val="009D70EE"/>
    <w:rsid w:val="009D7DA3"/>
    <w:rsid w:val="009E2941"/>
    <w:rsid w:val="009E63EE"/>
    <w:rsid w:val="009E702E"/>
    <w:rsid w:val="00A01539"/>
    <w:rsid w:val="00A023A0"/>
    <w:rsid w:val="00A03C09"/>
    <w:rsid w:val="00A04FB7"/>
    <w:rsid w:val="00A07E70"/>
    <w:rsid w:val="00A122E5"/>
    <w:rsid w:val="00A14A4D"/>
    <w:rsid w:val="00A15588"/>
    <w:rsid w:val="00A24BB4"/>
    <w:rsid w:val="00A25853"/>
    <w:rsid w:val="00A32BFF"/>
    <w:rsid w:val="00A35C14"/>
    <w:rsid w:val="00A36850"/>
    <w:rsid w:val="00A37B76"/>
    <w:rsid w:val="00A54AB0"/>
    <w:rsid w:val="00A61E9B"/>
    <w:rsid w:val="00A761C3"/>
    <w:rsid w:val="00A827D4"/>
    <w:rsid w:val="00A918BB"/>
    <w:rsid w:val="00A972CD"/>
    <w:rsid w:val="00AA0B6E"/>
    <w:rsid w:val="00AA547F"/>
    <w:rsid w:val="00AB114E"/>
    <w:rsid w:val="00AB11E4"/>
    <w:rsid w:val="00AB1813"/>
    <w:rsid w:val="00AB5FC4"/>
    <w:rsid w:val="00AB6F2A"/>
    <w:rsid w:val="00AC2E54"/>
    <w:rsid w:val="00AC334E"/>
    <w:rsid w:val="00AD019C"/>
    <w:rsid w:val="00AD3213"/>
    <w:rsid w:val="00AF6638"/>
    <w:rsid w:val="00B0226C"/>
    <w:rsid w:val="00B07865"/>
    <w:rsid w:val="00B10362"/>
    <w:rsid w:val="00B11C4F"/>
    <w:rsid w:val="00B136BE"/>
    <w:rsid w:val="00B13DBB"/>
    <w:rsid w:val="00B22604"/>
    <w:rsid w:val="00B37AE4"/>
    <w:rsid w:val="00B41606"/>
    <w:rsid w:val="00B44404"/>
    <w:rsid w:val="00B51827"/>
    <w:rsid w:val="00B54675"/>
    <w:rsid w:val="00B565CC"/>
    <w:rsid w:val="00B5753B"/>
    <w:rsid w:val="00B579A6"/>
    <w:rsid w:val="00B61137"/>
    <w:rsid w:val="00B6510B"/>
    <w:rsid w:val="00B657AB"/>
    <w:rsid w:val="00B66E9D"/>
    <w:rsid w:val="00B67647"/>
    <w:rsid w:val="00B70758"/>
    <w:rsid w:val="00B711E2"/>
    <w:rsid w:val="00B767A8"/>
    <w:rsid w:val="00B93458"/>
    <w:rsid w:val="00BA06D9"/>
    <w:rsid w:val="00BA3D81"/>
    <w:rsid w:val="00BB3837"/>
    <w:rsid w:val="00BC7171"/>
    <w:rsid w:val="00BC7211"/>
    <w:rsid w:val="00BD1ACB"/>
    <w:rsid w:val="00BD73CE"/>
    <w:rsid w:val="00BF480C"/>
    <w:rsid w:val="00C0775D"/>
    <w:rsid w:val="00C21D8B"/>
    <w:rsid w:val="00C33D95"/>
    <w:rsid w:val="00C34FF9"/>
    <w:rsid w:val="00C61CD7"/>
    <w:rsid w:val="00C673D1"/>
    <w:rsid w:val="00C728FB"/>
    <w:rsid w:val="00C74F81"/>
    <w:rsid w:val="00C81411"/>
    <w:rsid w:val="00C815A5"/>
    <w:rsid w:val="00CA38BC"/>
    <w:rsid w:val="00CA5549"/>
    <w:rsid w:val="00CA7A7F"/>
    <w:rsid w:val="00CA7FA6"/>
    <w:rsid w:val="00CB68EF"/>
    <w:rsid w:val="00CC3407"/>
    <w:rsid w:val="00CC42CE"/>
    <w:rsid w:val="00CC5DF7"/>
    <w:rsid w:val="00CC6F34"/>
    <w:rsid w:val="00CD0746"/>
    <w:rsid w:val="00CD2CAC"/>
    <w:rsid w:val="00CD7EC0"/>
    <w:rsid w:val="00CE098F"/>
    <w:rsid w:val="00CE39A3"/>
    <w:rsid w:val="00CE7D29"/>
    <w:rsid w:val="00CF027F"/>
    <w:rsid w:val="00CF434B"/>
    <w:rsid w:val="00CF6C0E"/>
    <w:rsid w:val="00D050D2"/>
    <w:rsid w:val="00D06D57"/>
    <w:rsid w:val="00D1150D"/>
    <w:rsid w:val="00D24D62"/>
    <w:rsid w:val="00D2557A"/>
    <w:rsid w:val="00D31668"/>
    <w:rsid w:val="00D35666"/>
    <w:rsid w:val="00D4213A"/>
    <w:rsid w:val="00D46ADB"/>
    <w:rsid w:val="00D52EBF"/>
    <w:rsid w:val="00D53B23"/>
    <w:rsid w:val="00D56C40"/>
    <w:rsid w:val="00D56D27"/>
    <w:rsid w:val="00D70A47"/>
    <w:rsid w:val="00D718E2"/>
    <w:rsid w:val="00D72295"/>
    <w:rsid w:val="00D80828"/>
    <w:rsid w:val="00DA3A3F"/>
    <w:rsid w:val="00DA6BF2"/>
    <w:rsid w:val="00DB36AE"/>
    <w:rsid w:val="00DB4D8A"/>
    <w:rsid w:val="00DC0695"/>
    <w:rsid w:val="00DC62A0"/>
    <w:rsid w:val="00DC75BB"/>
    <w:rsid w:val="00DD1D60"/>
    <w:rsid w:val="00DE0250"/>
    <w:rsid w:val="00DE7CA9"/>
    <w:rsid w:val="00E009B1"/>
    <w:rsid w:val="00E04869"/>
    <w:rsid w:val="00E214AD"/>
    <w:rsid w:val="00E223D7"/>
    <w:rsid w:val="00E2765A"/>
    <w:rsid w:val="00E30A38"/>
    <w:rsid w:val="00E34A7B"/>
    <w:rsid w:val="00E35B88"/>
    <w:rsid w:val="00E437CA"/>
    <w:rsid w:val="00E50D08"/>
    <w:rsid w:val="00E50E1B"/>
    <w:rsid w:val="00E6132C"/>
    <w:rsid w:val="00E71F05"/>
    <w:rsid w:val="00E73A21"/>
    <w:rsid w:val="00E73C49"/>
    <w:rsid w:val="00E81A93"/>
    <w:rsid w:val="00E83A5D"/>
    <w:rsid w:val="00E91C67"/>
    <w:rsid w:val="00E92D92"/>
    <w:rsid w:val="00E9663D"/>
    <w:rsid w:val="00EA11C6"/>
    <w:rsid w:val="00EA25A0"/>
    <w:rsid w:val="00EA32AB"/>
    <w:rsid w:val="00EB09FE"/>
    <w:rsid w:val="00EB48AC"/>
    <w:rsid w:val="00EC16C4"/>
    <w:rsid w:val="00EE1E6B"/>
    <w:rsid w:val="00EE4D4A"/>
    <w:rsid w:val="00EE6C0E"/>
    <w:rsid w:val="00EF0142"/>
    <w:rsid w:val="00F0699C"/>
    <w:rsid w:val="00F10419"/>
    <w:rsid w:val="00F11000"/>
    <w:rsid w:val="00F12018"/>
    <w:rsid w:val="00F126B0"/>
    <w:rsid w:val="00F23166"/>
    <w:rsid w:val="00F26EAF"/>
    <w:rsid w:val="00F41C98"/>
    <w:rsid w:val="00F441EE"/>
    <w:rsid w:val="00F45F02"/>
    <w:rsid w:val="00F50664"/>
    <w:rsid w:val="00F5485D"/>
    <w:rsid w:val="00F5500F"/>
    <w:rsid w:val="00F64B23"/>
    <w:rsid w:val="00F72D94"/>
    <w:rsid w:val="00F81D36"/>
    <w:rsid w:val="00F871FC"/>
    <w:rsid w:val="00FB3089"/>
    <w:rsid w:val="00FB46AF"/>
    <w:rsid w:val="00FC4955"/>
    <w:rsid w:val="00FD18FE"/>
    <w:rsid w:val="00FD4731"/>
    <w:rsid w:val="00FD4E03"/>
    <w:rsid w:val="00FD4ED6"/>
    <w:rsid w:val="00FD5801"/>
    <w:rsid w:val="00FE4F4E"/>
    <w:rsid w:val="00FE567B"/>
    <w:rsid w:val="00FF275D"/>
    <w:rsid w:val="00FF2D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5EA0"/>
  <w14:defaultImageDpi w14:val="32767"/>
  <w15:chartTrackingRefBased/>
  <w15:docId w15:val="{CB1ECE99-7FE3-504F-B24B-65BC1A28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02449"/>
    <w:pPr>
      <w:keepNext/>
      <w:keepLines/>
      <w:spacing w:before="360" w:after="120"/>
      <w:outlineLvl w:val="0"/>
    </w:pPr>
    <w:rPr>
      <w:rFonts w:ascii="Calibri" w:eastAsiaTheme="majorEastAsia" w:hAnsi="Calibri" w:cstheme="majorBidi"/>
      <w:b/>
      <w:color w:val="077565"/>
    </w:rPr>
  </w:style>
  <w:style w:type="paragraph" w:styleId="Heading2">
    <w:name w:val="heading 2"/>
    <w:basedOn w:val="Heading1"/>
    <w:next w:val="Normal"/>
    <w:link w:val="Heading2Char"/>
    <w:uiPriority w:val="9"/>
    <w:unhideWhenUsed/>
    <w:qFormat/>
    <w:rsid w:val="005E44CC"/>
    <w:pPr>
      <w:outlineLvl w:val="1"/>
    </w:pPr>
  </w:style>
  <w:style w:type="paragraph" w:styleId="Heading3">
    <w:name w:val="heading 3"/>
    <w:basedOn w:val="Normal"/>
    <w:next w:val="Normal"/>
    <w:link w:val="Heading3Char"/>
    <w:uiPriority w:val="9"/>
    <w:unhideWhenUsed/>
    <w:qFormat/>
    <w:rsid w:val="00370840"/>
    <w:pPr>
      <w:keepNext/>
      <w:spacing w:after="100" w:afterAutospacing="1" w:line="264" w:lineRule="auto"/>
      <w:contextualSpacing/>
      <w:mirrorIndents/>
      <w:jc w:val="center"/>
      <w:outlineLvl w:val="2"/>
    </w:pPr>
    <w:rPr>
      <w:b/>
      <w:bCs/>
    </w:rPr>
  </w:style>
  <w:style w:type="paragraph" w:styleId="Heading4">
    <w:name w:val="heading 4"/>
    <w:basedOn w:val="Normal"/>
    <w:next w:val="Normal"/>
    <w:link w:val="Heading4Char"/>
    <w:uiPriority w:val="9"/>
    <w:unhideWhenUsed/>
    <w:qFormat/>
    <w:rsid w:val="004B3334"/>
    <w:pPr>
      <w:keepNext/>
      <w:spacing w:after="100" w:afterAutospacing="1" w:line="264" w:lineRule="auto"/>
      <w:contextualSpacing/>
      <w:mirrorIndents/>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1BBD"/>
    <w:pPr>
      <w:ind w:left="720"/>
      <w:contextualSpacing/>
    </w:pPr>
  </w:style>
  <w:style w:type="paragraph" w:styleId="BodyText">
    <w:name w:val="Body Text"/>
    <w:basedOn w:val="Normal"/>
    <w:link w:val="BodyTextChar"/>
    <w:uiPriority w:val="1"/>
    <w:qFormat/>
    <w:rsid w:val="00B61137"/>
    <w:pPr>
      <w:widowControl w:val="0"/>
      <w:autoSpaceDE w:val="0"/>
      <w:autoSpaceDN w:val="0"/>
      <w:ind w:left="82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61137"/>
    <w:rPr>
      <w:rFonts w:ascii="Calibri" w:eastAsia="Calibri" w:hAnsi="Calibri" w:cs="Calibri"/>
      <w:lang w:eastAsia="en-GB" w:bidi="en-GB"/>
    </w:rPr>
  </w:style>
  <w:style w:type="paragraph" w:styleId="FootnoteText">
    <w:name w:val="footnote text"/>
    <w:basedOn w:val="Normal"/>
    <w:link w:val="FootnoteTextChar"/>
    <w:uiPriority w:val="99"/>
    <w:semiHidden/>
    <w:unhideWhenUsed/>
    <w:rsid w:val="0066648F"/>
    <w:rPr>
      <w:sz w:val="20"/>
      <w:szCs w:val="20"/>
    </w:rPr>
  </w:style>
  <w:style w:type="character" w:customStyle="1" w:styleId="FootnoteTextChar">
    <w:name w:val="Footnote Text Char"/>
    <w:basedOn w:val="DefaultParagraphFont"/>
    <w:link w:val="FootnoteText"/>
    <w:uiPriority w:val="99"/>
    <w:semiHidden/>
    <w:rsid w:val="0066648F"/>
    <w:rPr>
      <w:sz w:val="20"/>
      <w:szCs w:val="20"/>
    </w:rPr>
  </w:style>
  <w:style w:type="character" w:styleId="FootnoteReference">
    <w:name w:val="footnote reference"/>
    <w:basedOn w:val="DefaultParagraphFont"/>
    <w:uiPriority w:val="99"/>
    <w:semiHidden/>
    <w:unhideWhenUsed/>
    <w:rsid w:val="0066648F"/>
    <w:rPr>
      <w:vertAlign w:val="superscript"/>
    </w:rPr>
  </w:style>
  <w:style w:type="paragraph" w:styleId="Footer">
    <w:name w:val="footer"/>
    <w:basedOn w:val="Normal"/>
    <w:link w:val="FooterChar"/>
    <w:uiPriority w:val="99"/>
    <w:unhideWhenUsed/>
    <w:rsid w:val="00B51827"/>
    <w:pPr>
      <w:tabs>
        <w:tab w:val="center" w:pos="4680"/>
        <w:tab w:val="right" w:pos="9360"/>
      </w:tabs>
    </w:pPr>
  </w:style>
  <w:style w:type="character" w:customStyle="1" w:styleId="FooterChar">
    <w:name w:val="Footer Char"/>
    <w:basedOn w:val="DefaultParagraphFont"/>
    <w:link w:val="Footer"/>
    <w:uiPriority w:val="99"/>
    <w:rsid w:val="00B51827"/>
  </w:style>
  <w:style w:type="character" w:styleId="PageNumber">
    <w:name w:val="page number"/>
    <w:basedOn w:val="DefaultParagraphFont"/>
    <w:uiPriority w:val="99"/>
    <w:semiHidden/>
    <w:unhideWhenUsed/>
    <w:rsid w:val="00B51827"/>
  </w:style>
  <w:style w:type="character" w:styleId="CommentReference">
    <w:name w:val="annotation reference"/>
    <w:basedOn w:val="DefaultParagraphFont"/>
    <w:uiPriority w:val="99"/>
    <w:semiHidden/>
    <w:unhideWhenUsed/>
    <w:rsid w:val="0091787F"/>
    <w:rPr>
      <w:sz w:val="16"/>
      <w:szCs w:val="16"/>
    </w:rPr>
  </w:style>
  <w:style w:type="paragraph" w:styleId="CommentText">
    <w:name w:val="annotation text"/>
    <w:basedOn w:val="Normal"/>
    <w:link w:val="CommentTextChar"/>
    <w:uiPriority w:val="99"/>
    <w:semiHidden/>
    <w:unhideWhenUsed/>
    <w:rsid w:val="0091787F"/>
    <w:rPr>
      <w:sz w:val="20"/>
      <w:szCs w:val="20"/>
    </w:rPr>
  </w:style>
  <w:style w:type="character" w:customStyle="1" w:styleId="CommentTextChar">
    <w:name w:val="Comment Text Char"/>
    <w:basedOn w:val="DefaultParagraphFont"/>
    <w:link w:val="CommentText"/>
    <w:uiPriority w:val="99"/>
    <w:semiHidden/>
    <w:rsid w:val="0091787F"/>
    <w:rPr>
      <w:sz w:val="20"/>
      <w:szCs w:val="20"/>
    </w:rPr>
  </w:style>
  <w:style w:type="paragraph" w:styleId="CommentSubject">
    <w:name w:val="annotation subject"/>
    <w:basedOn w:val="CommentText"/>
    <w:next w:val="CommentText"/>
    <w:link w:val="CommentSubjectChar"/>
    <w:uiPriority w:val="99"/>
    <w:semiHidden/>
    <w:unhideWhenUsed/>
    <w:rsid w:val="0091787F"/>
    <w:rPr>
      <w:b/>
      <w:bCs/>
    </w:rPr>
  </w:style>
  <w:style w:type="character" w:customStyle="1" w:styleId="CommentSubjectChar">
    <w:name w:val="Comment Subject Char"/>
    <w:basedOn w:val="CommentTextChar"/>
    <w:link w:val="CommentSubject"/>
    <w:uiPriority w:val="99"/>
    <w:semiHidden/>
    <w:rsid w:val="0091787F"/>
    <w:rPr>
      <w:b/>
      <w:bCs/>
      <w:sz w:val="20"/>
      <w:szCs w:val="20"/>
    </w:rPr>
  </w:style>
  <w:style w:type="paragraph" w:styleId="Revision">
    <w:name w:val="Revision"/>
    <w:hidden/>
    <w:uiPriority w:val="99"/>
    <w:semiHidden/>
    <w:rsid w:val="0091787F"/>
  </w:style>
  <w:style w:type="character" w:styleId="Strong">
    <w:name w:val="Strong"/>
    <w:basedOn w:val="DefaultParagraphFont"/>
    <w:uiPriority w:val="22"/>
    <w:qFormat/>
    <w:rsid w:val="005E44CC"/>
    <w:rPr>
      <w:b/>
      <w:bCs/>
    </w:rPr>
  </w:style>
  <w:style w:type="character" w:customStyle="1" w:styleId="Heading1Char">
    <w:name w:val="Heading 1 Char"/>
    <w:basedOn w:val="DefaultParagraphFont"/>
    <w:link w:val="Heading1"/>
    <w:uiPriority w:val="9"/>
    <w:rsid w:val="00302449"/>
    <w:rPr>
      <w:rFonts w:ascii="Calibri" w:eastAsiaTheme="majorEastAsia" w:hAnsi="Calibri" w:cstheme="majorBidi"/>
      <w:b/>
      <w:color w:val="077565"/>
    </w:rPr>
  </w:style>
  <w:style w:type="character" w:customStyle="1" w:styleId="Heading2Char">
    <w:name w:val="Heading 2 Char"/>
    <w:basedOn w:val="DefaultParagraphFont"/>
    <w:link w:val="Heading2"/>
    <w:uiPriority w:val="9"/>
    <w:rsid w:val="005E44CC"/>
    <w:rPr>
      <w:rFonts w:ascii="Calibri" w:eastAsiaTheme="majorEastAsia" w:hAnsi="Calibri" w:cstheme="majorBidi"/>
      <w:b/>
      <w:color w:val="077565"/>
      <w:sz w:val="32"/>
      <w:szCs w:val="32"/>
    </w:rPr>
  </w:style>
  <w:style w:type="character" w:customStyle="1" w:styleId="Heading3Char">
    <w:name w:val="Heading 3 Char"/>
    <w:basedOn w:val="DefaultParagraphFont"/>
    <w:link w:val="Heading3"/>
    <w:uiPriority w:val="9"/>
    <w:rsid w:val="00370840"/>
    <w:rPr>
      <w:b/>
      <w:bCs/>
    </w:rPr>
  </w:style>
  <w:style w:type="paragraph" w:customStyle="1" w:styleId="Numberedpara">
    <w:name w:val="Numbered para"/>
    <w:basedOn w:val="ListParagraph"/>
    <w:link w:val="NumberedparaChar"/>
    <w:qFormat/>
    <w:rsid w:val="004B3334"/>
    <w:pPr>
      <w:numPr>
        <w:numId w:val="23"/>
      </w:numPr>
      <w:spacing w:before="120" w:after="220" w:afterAutospacing="1" w:line="264" w:lineRule="auto"/>
      <w:mirrorIndents/>
    </w:pPr>
  </w:style>
  <w:style w:type="character" w:customStyle="1" w:styleId="Heading4Char">
    <w:name w:val="Heading 4 Char"/>
    <w:basedOn w:val="DefaultParagraphFont"/>
    <w:link w:val="Heading4"/>
    <w:uiPriority w:val="9"/>
    <w:rsid w:val="004B3334"/>
    <w:rPr>
      <w:i/>
      <w:iCs/>
    </w:rPr>
  </w:style>
  <w:style w:type="character" w:customStyle="1" w:styleId="ListParagraphChar">
    <w:name w:val="List Paragraph Char"/>
    <w:basedOn w:val="DefaultParagraphFont"/>
    <w:link w:val="ListParagraph"/>
    <w:uiPriority w:val="34"/>
    <w:rsid w:val="00370840"/>
  </w:style>
  <w:style w:type="character" w:customStyle="1" w:styleId="NumberedparaChar">
    <w:name w:val="Numbered para Char"/>
    <w:basedOn w:val="ListParagraphChar"/>
    <w:link w:val="Numberedpara"/>
    <w:rsid w:val="004B3334"/>
  </w:style>
  <w:style w:type="paragraph" w:styleId="Quote">
    <w:name w:val="Quote"/>
    <w:basedOn w:val="Normal"/>
    <w:next w:val="Normal"/>
    <w:link w:val="QuoteChar"/>
    <w:uiPriority w:val="29"/>
    <w:qFormat/>
    <w:rsid w:val="004B33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B3334"/>
    <w:rPr>
      <w:i/>
      <w:iCs/>
      <w:color w:val="404040" w:themeColor="text1" w:themeTint="BF"/>
    </w:rPr>
  </w:style>
  <w:style w:type="paragraph" w:styleId="BodyTextIndent">
    <w:name w:val="Body Text Indent"/>
    <w:basedOn w:val="Normal"/>
    <w:link w:val="BodyTextIndentChar"/>
    <w:uiPriority w:val="99"/>
    <w:unhideWhenUsed/>
    <w:rsid w:val="004B3334"/>
    <w:pPr>
      <w:spacing w:after="100" w:afterAutospacing="1" w:line="264" w:lineRule="auto"/>
      <w:ind w:left="567" w:hanging="567"/>
      <w:contextualSpacing/>
      <w:mirrorIndents/>
    </w:pPr>
  </w:style>
  <w:style w:type="character" w:customStyle="1" w:styleId="BodyTextIndentChar">
    <w:name w:val="Body Text Indent Char"/>
    <w:basedOn w:val="DefaultParagraphFont"/>
    <w:link w:val="BodyTextIndent"/>
    <w:uiPriority w:val="99"/>
    <w:rsid w:val="004B3334"/>
  </w:style>
  <w:style w:type="paragraph" w:customStyle="1" w:styleId="11Numberedpara">
    <w:name w:val="1.1 Numbered para"/>
    <w:basedOn w:val="BodyTextIndent"/>
    <w:link w:val="11NumberedparaChar"/>
    <w:qFormat/>
    <w:rsid w:val="00701780"/>
  </w:style>
  <w:style w:type="paragraph" w:styleId="Header">
    <w:name w:val="header"/>
    <w:basedOn w:val="Normal"/>
    <w:link w:val="HeaderChar"/>
    <w:uiPriority w:val="99"/>
    <w:unhideWhenUsed/>
    <w:rsid w:val="009A4C84"/>
    <w:pPr>
      <w:tabs>
        <w:tab w:val="center" w:pos="4513"/>
        <w:tab w:val="right" w:pos="9026"/>
      </w:tabs>
    </w:pPr>
  </w:style>
  <w:style w:type="character" w:customStyle="1" w:styleId="11NumberedparaChar">
    <w:name w:val="1.1 Numbered para Char"/>
    <w:basedOn w:val="BodyTextIndentChar"/>
    <w:link w:val="11Numberedpara"/>
    <w:rsid w:val="00701780"/>
  </w:style>
  <w:style w:type="character" w:customStyle="1" w:styleId="HeaderChar">
    <w:name w:val="Header Char"/>
    <w:basedOn w:val="DefaultParagraphFont"/>
    <w:link w:val="Header"/>
    <w:uiPriority w:val="99"/>
    <w:rsid w:val="009A4C84"/>
  </w:style>
  <w:style w:type="table" w:styleId="TableGrid">
    <w:name w:val="Table Grid"/>
    <w:basedOn w:val="TableNormal"/>
    <w:uiPriority w:val="39"/>
    <w:rsid w:val="006C3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AE6"/>
    <w:rPr>
      <w:color w:val="0563C1" w:themeColor="hyperlink"/>
      <w:u w:val="single"/>
    </w:rPr>
  </w:style>
  <w:style w:type="character" w:styleId="UnresolvedMention">
    <w:name w:val="Unresolved Mention"/>
    <w:basedOn w:val="DefaultParagraphFont"/>
    <w:uiPriority w:val="99"/>
    <w:rsid w:val="00223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699201">
      <w:bodyDiv w:val="1"/>
      <w:marLeft w:val="0"/>
      <w:marRight w:val="0"/>
      <w:marTop w:val="0"/>
      <w:marBottom w:val="0"/>
      <w:divBdr>
        <w:top w:val="none" w:sz="0" w:space="0" w:color="auto"/>
        <w:left w:val="none" w:sz="0" w:space="0" w:color="auto"/>
        <w:bottom w:val="none" w:sz="0" w:space="0" w:color="auto"/>
        <w:right w:val="none" w:sz="0" w:space="0" w:color="auto"/>
      </w:divBdr>
    </w:div>
    <w:div w:id="16289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uk/r/CJC-cos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04E57-1FCC-4BD7-91BA-754F5B82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Birss, Lord Justice</dc:creator>
  <cp:keywords/>
  <dc:description/>
  <cp:lastModifiedBy>Kherallah, Bushra (Judicial Office)</cp:lastModifiedBy>
  <cp:revision>2</cp:revision>
  <dcterms:created xsi:type="dcterms:W3CDTF">2022-06-30T08:57:00Z</dcterms:created>
  <dcterms:modified xsi:type="dcterms:W3CDTF">2022-06-30T08:57:00Z</dcterms:modified>
</cp:coreProperties>
</file>