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1CF88" w14:textId="4E005496" w:rsidR="00DC0C1C" w:rsidRPr="00347358" w:rsidRDefault="00354EC7" w:rsidP="0010499F">
      <w:pPr>
        <w:pStyle w:val="Heading1"/>
        <w:spacing w:before="92" w:after="160" w:line="259" w:lineRule="auto"/>
        <w:ind w:left="0"/>
        <w:rPr>
          <w:sz w:val="40"/>
          <w:szCs w:val="40"/>
        </w:rPr>
      </w:pPr>
      <w:r w:rsidRPr="00347358">
        <w:rPr>
          <w:sz w:val="40"/>
          <w:szCs w:val="40"/>
        </w:rPr>
        <w:t>Part 4 – Submitting recommendations for appointment</w:t>
      </w:r>
    </w:p>
    <w:p w14:paraId="7DB9D99A" w14:textId="5F933302" w:rsidR="002B117E" w:rsidRPr="00160B30" w:rsidRDefault="002B117E" w:rsidP="002B117E">
      <w:pPr>
        <w:spacing w:after="160" w:line="259" w:lineRule="auto"/>
        <w:rPr>
          <w:u w:val="single"/>
        </w:rPr>
      </w:pPr>
      <w:r w:rsidRPr="00160B30">
        <w:rPr>
          <w:u w:val="single"/>
        </w:rPr>
        <w:t xml:space="preserve">Part 4 of the Directions is relevant to Recruitment Advisory Committees only. </w:t>
      </w:r>
    </w:p>
    <w:p w14:paraId="35FA6BBE" w14:textId="77777777" w:rsidR="00DC0C1C" w:rsidRPr="00347358" w:rsidRDefault="00354EC7" w:rsidP="0010499F">
      <w:pPr>
        <w:pStyle w:val="Heading2"/>
        <w:ind w:left="0"/>
        <w:rPr>
          <w:sz w:val="28"/>
          <w:szCs w:val="28"/>
        </w:rPr>
      </w:pPr>
      <w:r w:rsidRPr="00347358">
        <w:rPr>
          <w:sz w:val="28"/>
          <w:szCs w:val="28"/>
        </w:rPr>
        <w:t>Timing</w:t>
      </w:r>
    </w:p>
    <w:p w14:paraId="0DA7BDB3" w14:textId="2433B039" w:rsidR="0010499F" w:rsidRPr="00DA166C" w:rsidRDefault="07E76532"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 xml:space="preserve">Advisory </w:t>
      </w:r>
      <w:r w:rsidR="3E275A8B" w:rsidRPr="00DA166C">
        <w:rPr>
          <w:sz w:val="24"/>
          <w:szCs w:val="24"/>
        </w:rPr>
        <w:t>C</w:t>
      </w:r>
      <w:r w:rsidRPr="00DA166C">
        <w:rPr>
          <w:sz w:val="24"/>
          <w:szCs w:val="24"/>
        </w:rPr>
        <w:t xml:space="preserve">ommittees may submit recommendations for appointment at any time during the year. To assist with the planning of resources, </w:t>
      </w:r>
      <w:r w:rsidR="0F544654" w:rsidRPr="00DA166C">
        <w:rPr>
          <w:sz w:val="24"/>
          <w:szCs w:val="24"/>
        </w:rPr>
        <w:t>A</w:t>
      </w:r>
      <w:r w:rsidRPr="00DA166C">
        <w:rPr>
          <w:sz w:val="24"/>
          <w:szCs w:val="24"/>
        </w:rPr>
        <w:t xml:space="preserve">dvisory </w:t>
      </w:r>
      <w:r w:rsidR="0F544654" w:rsidRPr="00DA166C">
        <w:rPr>
          <w:sz w:val="24"/>
          <w:szCs w:val="24"/>
        </w:rPr>
        <w:t>C</w:t>
      </w:r>
      <w:r w:rsidRPr="00DA166C">
        <w:rPr>
          <w:sz w:val="24"/>
          <w:szCs w:val="24"/>
        </w:rPr>
        <w:t xml:space="preserve">ommittees </w:t>
      </w:r>
      <w:r w:rsidR="4E917FC6" w:rsidRPr="00DA166C">
        <w:rPr>
          <w:sz w:val="24"/>
          <w:szCs w:val="24"/>
        </w:rPr>
        <w:t xml:space="preserve">should agree a recruitment plan and share it with Judicial Office HR, as set out in Part 3 of these Directions. This should include </w:t>
      </w:r>
      <w:r w:rsidRPr="00DA166C">
        <w:rPr>
          <w:sz w:val="24"/>
          <w:szCs w:val="24"/>
        </w:rPr>
        <w:t xml:space="preserve">a twelve-month forecast of when </w:t>
      </w:r>
      <w:r w:rsidR="62DDD030" w:rsidRPr="00DA166C">
        <w:rPr>
          <w:sz w:val="24"/>
          <w:szCs w:val="24"/>
        </w:rPr>
        <w:t xml:space="preserve">they expect to send </w:t>
      </w:r>
      <w:r w:rsidRPr="00DA166C">
        <w:rPr>
          <w:sz w:val="24"/>
          <w:szCs w:val="24"/>
        </w:rPr>
        <w:t>recommendations</w:t>
      </w:r>
      <w:r w:rsidR="0D9D3B6E" w:rsidRPr="00DA166C">
        <w:rPr>
          <w:sz w:val="24"/>
          <w:szCs w:val="24"/>
        </w:rPr>
        <w:t xml:space="preserve"> for appointment to the S</w:t>
      </w:r>
      <w:r w:rsidR="00702D01" w:rsidRPr="00DA166C">
        <w:rPr>
          <w:sz w:val="24"/>
          <w:szCs w:val="24"/>
        </w:rPr>
        <w:t xml:space="preserve">enior </w:t>
      </w:r>
      <w:r w:rsidR="0D9D3B6E" w:rsidRPr="00DA166C">
        <w:rPr>
          <w:sz w:val="24"/>
          <w:szCs w:val="24"/>
        </w:rPr>
        <w:t>P</w:t>
      </w:r>
      <w:r w:rsidR="00702D01" w:rsidRPr="00DA166C">
        <w:rPr>
          <w:sz w:val="24"/>
          <w:szCs w:val="24"/>
        </w:rPr>
        <w:t xml:space="preserve">residing </w:t>
      </w:r>
      <w:r w:rsidR="0D9D3B6E" w:rsidRPr="00DA166C">
        <w:rPr>
          <w:sz w:val="24"/>
          <w:szCs w:val="24"/>
        </w:rPr>
        <w:t>J</w:t>
      </w:r>
      <w:r w:rsidR="00702D01" w:rsidRPr="00DA166C">
        <w:rPr>
          <w:sz w:val="24"/>
          <w:szCs w:val="24"/>
        </w:rPr>
        <w:t>udge</w:t>
      </w:r>
      <w:r w:rsidR="0D9D3B6E" w:rsidRPr="00DA166C">
        <w:rPr>
          <w:sz w:val="24"/>
          <w:szCs w:val="24"/>
        </w:rPr>
        <w:t>.</w:t>
      </w:r>
      <w:r w:rsidR="00702D01" w:rsidRPr="00DA166C">
        <w:rPr>
          <w:sz w:val="24"/>
          <w:szCs w:val="24"/>
        </w:rPr>
        <w:t xml:space="preserve"> </w:t>
      </w:r>
      <w:r w:rsidRPr="00DA166C">
        <w:rPr>
          <w:sz w:val="24"/>
          <w:szCs w:val="24"/>
        </w:rPr>
        <w:t xml:space="preserve">Advisory </w:t>
      </w:r>
      <w:r w:rsidR="0F544654" w:rsidRPr="00DA166C">
        <w:rPr>
          <w:sz w:val="24"/>
          <w:szCs w:val="24"/>
        </w:rPr>
        <w:t>C</w:t>
      </w:r>
      <w:r w:rsidRPr="00DA166C">
        <w:rPr>
          <w:sz w:val="24"/>
          <w:szCs w:val="24"/>
        </w:rPr>
        <w:t>ommittees should provide updates to Judicial</w:t>
      </w:r>
      <w:r w:rsidR="0F544654" w:rsidRPr="00DA166C">
        <w:rPr>
          <w:sz w:val="24"/>
          <w:szCs w:val="24"/>
        </w:rPr>
        <w:t xml:space="preserve"> Office</w:t>
      </w:r>
      <w:r w:rsidRPr="00DA166C">
        <w:rPr>
          <w:sz w:val="24"/>
          <w:szCs w:val="24"/>
        </w:rPr>
        <w:t xml:space="preserve"> HR, </w:t>
      </w:r>
      <w:r w:rsidR="0F544654" w:rsidRPr="00DA166C">
        <w:rPr>
          <w:sz w:val="24"/>
          <w:szCs w:val="24"/>
        </w:rPr>
        <w:t xml:space="preserve">if and when </w:t>
      </w:r>
      <w:r w:rsidRPr="00DA166C">
        <w:rPr>
          <w:sz w:val="24"/>
          <w:szCs w:val="24"/>
        </w:rPr>
        <w:t>these forecasts change.</w:t>
      </w:r>
    </w:p>
    <w:p w14:paraId="048E3D67" w14:textId="22C8C588" w:rsidR="00CD5DA2" w:rsidRPr="00DA166C" w:rsidRDefault="008E4E5C"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 xml:space="preserve">Advisory Committees must submit recommendations for appointment within </w:t>
      </w:r>
      <w:r w:rsidRPr="00DA166C">
        <w:rPr>
          <w:b/>
          <w:bCs/>
          <w:color w:val="2B579A"/>
          <w:sz w:val="24"/>
          <w:szCs w:val="24"/>
          <w:shd w:val="clear" w:color="auto" w:fill="E6E6E6"/>
        </w:rPr>
        <w:t>10 working days</w:t>
      </w:r>
      <w:r w:rsidRPr="00DA166C">
        <w:rPr>
          <w:sz w:val="24"/>
          <w:szCs w:val="24"/>
        </w:rPr>
        <w:t xml:space="preserve"> of the decision being made</w:t>
      </w:r>
      <w:r w:rsidR="00E37546" w:rsidRPr="00DA166C">
        <w:rPr>
          <w:sz w:val="24"/>
          <w:szCs w:val="24"/>
        </w:rPr>
        <w:t xml:space="preserve"> or</w:t>
      </w:r>
      <w:r w:rsidR="0093616E" w:rsidRPr="00DA166C">
        <w:rPr>
          <w:sz w:val="24"/>
          <w:szCs w:val="24"/>
        </w:rPr>
        <w:t>, if not available at the time of the decision,</w:t>
      </w:r>
      <w:r w:rsidR="00E37546" w:rsidRPr="00DA166C">
        <w:rPr>
          <w:sz w:val="24"/>
          <w:szCs w:val="24"/>
        </w:rPr>
        <w:t xml:space="preserve"> receipt of the candidate’s D</w:t>
      </w:r>
      <w:r w:rsidR="00472469" w:rsidRPr="00DA166C">
        <w:rPr>
          <w:sz w:val="24"/>
          <w:szCs w:val="24"/>
        </w:rPr>
        <w:t xml:space="preserve">isclosure and </w:t>
      </w:r>
      <w:r w:rsidR="00E37546" w:rsidRPr="00DA166C">
        <w:rPr>
          <w:sz w:val="24"/>
          <w:szCs w:val="24"/>
        </w:rPr>
        <w:t>B</w:t>
      </w:r>
      <w:r w:rsidR="00472469" w:rsidRPr="00DA166C">
        <w:rPr>
          <w:sz w:val="24"/>
          <w:szCs w:val="24"/>
        </w:rPr>
        <w:t xml:space="preserve">arring </w:t>
      </w:r>
      <w:r w:rsidR="00E37546" w:rsidRPr="00DA166C">
        <w:rPr>
          <w:sz w:val="24"/>
          <w:szCs w:val="24"/>
        </w:rPr>
        <w:t>S</w:t>
      </w:r>
      <w:r w:rsidR="00472469" w:rsidRPr="00DA166C">
        <w:rPr>
          <w:sz w:val="24"/>
          <w:szCs w:val="24"/>
        </w:rPr>
        <w:t>ervice (DBS)</w:t>
      </w:r>
      <w:r w:rsidR="00E37546" w:rsidRPr="00DA166C">
        <w:rPr>
          <w:sz w:val="24"/>
          <w:szCs w:val="24"/>
        </w:rPr>
        <w:t xml:space="preserve"> clear</w:t>
      </w:r>
      <w:r w:rsidR="0093616E" w:rsidRPr="00DA166C">
        <w:rPr>
          <w:sz w:val="24"/>
          <w:szCs w:val="24"/>
        </w:rPr>
        <w:t>ance</w:t>
      </w:r>
      <w:r w:rsidRPr="00DA166C">
        <w:rPr>
          <w:sz w:val="24"/>
          <w:szCs w:val="24"/>
        </w:rPr>
        <w:t xml:space="preserve">. </w:t>
      </w:r>
    </w:p>
    <w:p w14:paraId="4E0E7FF9" w14:textId="5F6532C6" w:rsidR="008E4E5C" w:rsidRPr="00DA166C" w:rsidRDefault="008E4E5C"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 xml:space="preserve">If </w:t>
      </w:r>
      <w:r w:rsidR="00C26194" w:rsidRPr="00DA166C">
        <w:rPr>
          <w:sz w:val="24"/>
          <w:szCs w:val="24"/>
        </w:rPr>
        <w:t>there are some candidates where additional information is required prior to submitting the recommendation for appointment to Judicial Office HR, this should not delay th</w:t>
      </w:r>
      <w:r w:rsidR="00435031" w:rsidRPr="00DA166C">
        <w:rPr>
          <w:sz w:val="24"/>
          <w:szCs w:val="24"/>
        </w:rPr>
        <w:t xml:space="preserve">e submission of those </w:t>
      </w:r>
      <w:r w:rsidR="00C26194" w:rsidRPr="00DA166C">
        <w:rPr>
          <w:sz w:val="24"/>
          <w:szCs w:val="24"/>
        </w:rPr>
        <w:t xml:space="preserve">candidates </w:t>
      </w:r>
      <w:r w:rsidR="00435031" w:rsidRPr="00DA166C">
        <w:rPr>
          <w:sz w:val="24"/>
          <w:szCs w:val="24"/>
        </w:rPr>
        <w:t xml:space="preserve">for whom all the information has been made. In this instance, outstanding applications should be sent as soon as all the outstanding information has been collated. </w:t>
      </w:r>
    </w:p>
    <w:p w14:paraId="664A09A0" w14:textId="688022EB" w:rsidR="007C2DA4" w:rsidRPr="00347358" w:rsidRDefault="007C2DA4" w:rsidP="007C2DA4">
      <w:pPr>
        <w:pStyle w:val="Heading2"/>
        <w:rPr>
          <w:sz w:val="28"/>
          <w:szCs w:val="28"/>
        </w:rPr>
      </w:pPr>
      <w:r w:rsidRPr="00347358">
        <w:rPr>
          <w:sz w:val="28"/>
          <w:szCs w:val="28"/>
        </w:rPr>
        <w:t>Format</w:t>
      </w:r>
    </w:p>
    <w:p w14:paraId="58466452" w14:textId="5EFF8631" w:rsidR="0010499F" w:rsidRPr="00DA166C" w:rsidRDefault="0F544654"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Submissions should be sent to Judicial</w:t>
      </w:r>
      <w:r w:rsidR="0E615871" w:rsidRPr="00DA166C">
        <w:rPr>
          <w:sz w:val="24"/>
          <w:szCs w:val="24"/>
        </w:rPr>
        <w:t xml:space="preserve"> Office</w:t>
      </w:r>
      <w:r w:rsidRPr="00DA166C">
        <w:rPr>
          <w:sz w:val="24"/>
          <w:szCs w:val="24"/>
        </w:rPr>
        <w:t xml:space="preserve"> HR. </w:t>
      </w:r>
      <w:r w:rsidR="3ED16240" w:rsidRPr="00DA166C">
        <w:rPr>
          <w:sz w:val="24"/>
          <w:szCs w:val="24"/>
        </w:rPr>
        <w:t xml:space="preserve">Advisory </w:t>
      </w:r>
      <w:r w:rsidRPr="00DA166C">
        <w:rPr>
          <w:sz w:val="24"/>
          <w:szCs w:val="24"/>
        </w:rPr>
        <w:t xml:space="preserve">Committees </w:t>
      </w:r>
      <w:r w:rsidR="3ED16240" w:rsidRPr="00DA166C">
        <w:rPr>
          <w:sz w:val="24"/>
          <w:szCs w:val="24"/>
        </w:rPr>
        <w:t>must</w:t>
      </w:r>
      <w:r w:rsidRPr="00DA166C">
        <w:rPr>
          <w:sz w:val="24"/>
          <w:szCs w:val="24"/>
        </w:rPr>
        <w:t xml:space="preserve"> submit papers electronically to</w:t>
      </w:r>
      <w:r w:rsidR="7EF93F62" w:rsidRPr="00DA166C">
        <w:rPr>
          <w:sz w:val="24"/>
          <w:szCs w:val="24"/>
        </w:rPr>
        <w:t>:</w:t>
      </w:r>
      <w:r w:rsidR="4DC58C06" w:rsidRPr="00DA166C">
        <w:rPr>
          <w:sz w:val="24"/>
          <w:szCs w:val="24"/>
        </w:rPr>
        <w:t xml:space="preserve"> </w:t>
      </w:r>
      <w:hyperlink r:id="rId9">
        <w:r w:rsidR="4DC58C06" w:rsidRPr="00DA166C">
          <w:rPr>
            <w:rStyle w:val="Hyperlink"/>
            <w:sz w:val="24"/>
            <w:szCs w:val="24"/>
          </w:rPr>
          <w:t>magistrateshrteam@judiciary.uk</w:t>
        </w:r>
      </w:hyperlink>
      <w:r w:rsidR="79C8B58F" w:rsidRPr="00DA166C">
        <w:rPr>
          <w:sz w:val="24"/>
          <w:szCs w:val="24"/>
        </w:rPr>
        <w:t xml:space="preserve"> with a maximum of </w:t>
      </w:r>
      <w:r w:rsidR="7A293C50" w:rsidRPr="00DA166C">
        <w:rPr>
          <w:sz w:val="24"/>
          <w:szCs w:val="24"/>
        </w:rPr>
        <w:t>c.</w:t>
      </w:r>
      <w:r w:rsidR="79C8B58F" w:rsidRPr="00DA166C">
        <w:rPr>
          <w:sz w:val="24"/>
          <w:szCs w:val="24"/>
        </w:rPr>
        <w:t>25 names per submission</w:t>
      </w:r>
      <w:r w:rsidR="4DC58C06" w:rsidRPr="00DA166C">
        <w:rPr>
          <w:sz w:val="24"/>
          <w:szCs w:val="24"/>
        </w:rPr>
        <w:t xml:space="preserve">. </w:t>
      </w:r>
    </w:p>
    <w:p w14:paraId="02830C27" w14:textId="2A1496B5" w:rsidR="00994112" w:rsidRPr="00994112" w:rsidRDefault="00994112" w:rsidP="00994112">
      <w:pPr>
        <w:pStyle w:val="Heading2"/>
        <w:rPr>
          <w:sz w:val="28"/>
          <w:szCs w:val="28"/>
        </w:rPr>
      </w:pPr>
      <w:r>
        <w:rPr>
          <w:sz w:val="28"/>
          <w:szCs w:val="28"/>
        </w:rPr>
        <w:t>Composition of the submission</w:t>
      </w:r>
    </w:p>
    <w:p w14:paraId="769F572A" w14:textId="0FEA72AF" w:rsidR="00957A9C" w:rsidRPr="00DA166C" w:rsidRDefault="4127FC61" w:rsidP="00957A9C">
      <w:pPr>
        <w:pStyle w:val="ListParagraph"/>
        <w:numPr>
          <w:ilvl w:val="1"/>
          <w:numId w:val="6"/>
        </w:numPr>
        <w:tabs>
          <w:tab w:val="left" w:pos="957"/>
          <w:tab w:val="left" w:pos="958"/>
        </w:tabs>
        <w:spacing w:before="60" w:after="160" w:line="259" w:lineRule="auto"/>
        <w:rPr>
          <w:sz w:val="24"/>
          <w:szCs w:val="24"/>
        </w:rPr>
      </w:pPr>
      <w:r w:rsidRPr="00DA166C">
        <w:rPr>
          <w:sz w:val="24"/>
          <w:szCs w:val="24"/>
        </w:rPr>
        <w:t xml:space="preserve">The submission must </w:t>
      </w:r>
      <w:r w:rsidR="6DC140BA" w:rsidRPr="00DA166C">
        <w:rPr>
          <w:sz w:val="24"/>
          <w:szCs w:val="24"/>
        </w:rPr>
        <w:t xml:space="preserve">include all of </w:t>
      </w:r>
      <w:r w:rsidRPr="00DA166C">
        <w:rPr>
          <w:sz w:val="24"/>
          <w:szCs w:val="24"/>
        </w:rPr>
        <w:t>the following:</w:t>
      </w:r>
    </w:p>
    <w:p w14:paraId="59DFD47A" w14:textId="76932666" w:rsidR="00957A9C" w:rsidRPr="00DA166C" w:rsidRDefault="00957A9C" w:rsidP="00957A9C">
      <w:pPr>
        <w:pStyle w:val="ListParagraph"/>
        <w:numPr>
          <w:ilvl w:val="2"/>
          <w:numId w:val="6"/>
        </w:numPr>
        <w:tabs>
          <w:tab w:val="left" w:pos="1661"/>
          <w:tab w:val="left" w:pos="1662"/>
        </w:tabs>
        <w:spacing w:before="124" w:after="160" w:line="259" w:lineRule="auto"/>
        <w:ind w:left="1661" w:right="1075"/>
        <w:rPr>
          <w:rFonts w:ascii="Symbol" w:hAnsi="Symbol"/>
          <w:sz w:val="24"/>
          <w:szCs w:val="24"/>
        </w:rPr>
      </w:pPr>
      <w:r w:rsidRPr="00DA166C">
        <w:rPr>
          <w:sz w:val="24"/>
          <w:szCs w:val="24"/>
        </w:rPr>
        <w:t xml:space="preserve">covering email from the Secretary or the </w:t>
      </w:r>
      <w:r w:rsidR="00A723C3" w:rsidRPr="00DA166C">
        <w:rPr>
          <w:sz w:val="24"/>
          <w:szCs w:val="24"/>
        </w:rPr>
        <w:t>S</w:t>
      </w:r>
      <w:r w:rsidRPr="00DA166C">
        <w:rPr>
          <w:sz w:val="24"/>
          <w:szCs w:val="24"/>
        </w:rPr>
        <w:t>ecretary’s delegate;</w:t>
      </w:r>
    </w:p>
    <w:p w14:paraId="7AE72DA6" w14:textId="3F7761EA" w:rsidR="00957A9C" w:rsidRPr="00DA166C" w:rsidRDefault="00957A9C" w:rsidP="00957A9C">
      <w:pPr>
        <w:pStyle w:val="ListParagraph"/>
        <w:numPr>
          <w:ilvl w:val="2"/>
          <w:numId w:val="6"/>
        </w:numPr>
        <w:tabs>
          <w:tab w:val="left" w:pos="1661"/>
          <w:tab w:val="left" w:pos="1662"/>
        </w:tabs>
        <w:spacing w:before="123" w:after="160" w:line="259" w:lineRule="auto"/>
        <w:ind w:left="1661" w:right="534"/>
        <w:rPr>
          <w:rFonts w:ascii="Symbol" w:hAnsi="Symbol"/>
          <w:sz w:val="24"/>
          <w:szCs w:val="24"/>
        </w:rPr>
      </w:pPr>
      <w:r w:rsidRPr="00DA166C">
        <w:rPr>
          <w:sz w:val="24"/>
          <w:szCs w:val="24"/>
        </w:rPr>
        <w:t>scan</w:t>
      </w:r>
      <w:r w:rsidR="00A723C3" w:rsidRPr="00DA166C">
        <w:rPr>
          <w:sz w:val="24"/>
          <w:szCs w:val="24"/>
        </w:rPr>
        <w:t xml:space="preserve">ned copy </w:t>
      </w:r>
      <w:r w:rsidRPr="00DA166C">
        <w:rPr>
          <w:sz w:val="24"/>
          <w:szCs w:val="24"/>
        </w:rPr>
        <w:t>of the application form for each recommended candidate;</w:t>
      </w:r>
    </w:p>
    <w:p w14:paraId="11CF37A3" w14:textId="77777777" w:rsidR="00957A9C" w:rsidRPr="00DA166C" w:rsidRDefault="00957A9C" w:rsidP="00957A9C">
      <w:pPr>
        <w:pStyle w:val="ListParagraph"/>
        <w:numPr>
          <w:ilvl w:val="2"/>
          <w:numId w:val="6"/>
        </w:numPr>
        <w:tabs>
          <w:tab w:val="left" w:pos="1661"/>
          <w:tab w:val="left" w:pos="1662"/>
        </w:tabs>
        <w:spacing w:before="124" w:after="160" w:line="259" w:lineRule="auto"/>
        <w:ind w:left="1661" w:right="510"/>
        <w:rPr>
          <w:rFonts w:ascii="Symbol" w:hAnsi="Symbol"/>
          <w:sz w:val="24"/>
          <w:szCs w:val="24"/>
        </w:rPr>
      </w:pPr>
      <w:r w:rsidRPr="00DA166C">
        <w:rPr>
          <w:sz w:val="24"/>
          <w:szCs w:val="24"/>
        </w:rPr>
        <w:t>completed candidates’ submission details form, including detailed information on concerns and/or conflicts (</w:t>
      </w:r>
      <w:r w:rsidRPr="00DA166C">
        <w:rPr>
          <w:b/>
          <w:sz w:val="24"/>
          <w:szCs w:val="24"/>
        </w:rPr>
        <w:t>Appendix 4A</w:t>
      </w:r>
      <w:r w:rsidRPr="00DA166C">
        <w:rPr>
          <w:sz w:val="24"/>
          <w:szCs w:val="24"/>
        </w:rPr>
        <w:t>);</w:t>
      </w:r>
    </w:p>
    <w:p w14:paraId="55962548" w14:textId="77777777" w:rsidR="00957A9C" w:rsidRPr="00DA166C" w:rsidRDefault="00957A9C" w:rsidP="00957A9C">
      <w:pPr>
        <w:pStyle w:val="ListParagraph"/>
        <w:numPr>
          <w:ilvl w:val="2"/>
          <w:numId w:val="6"/>
        </w:numPr>
        <w:tabs>
          <w:tab w:val="left" w:pos="1661"/>
          <w:tab w:val="left" w:pos="1662"/>
        </w:tabs>
        <w:spacing w:before="124" w:after="160" w:line="259" w:lineRule="auto"/>
        <w:ind w:left="1661" w:right="623"/>
        <w:rPr>
          <w:rFonts w:ascii="Symbol" w:hAnsi="Symbol"/>
          <w:sz w:val="24"/>
          <w:szCs w:val="24"/>
        </w:rPr>
      </w:pPr>
      <w:r w:rsidRPr="00DA166C">
        <w:rPr>
          <w:sz w:val="24"/>
          <w:szCs w:val="24"/>
        </w:rPr>
        <w:t>completed applicants and recruitment summary form (</w:t>
      </w:r>
      <w:r w:rsidRPr="00DA166C">
        <w:rPr>
          <w:b/>
          <w:sz w:val="24"/>
          <w:szCs w:val="24"/>
        </w:rPr>
        <w:t>Appendix 4B</w:t>
      </w:r>
      <w:r w:rsidRPr="00DA166C">
        <w:rPr>
          <w:sz w:val="24"/>
          <w:szCs w:val="24"/>
        </w:rPr>
        <w:t>);</w:t>
      </w:r>
    </w:p>
    <w:p w14:paraId="7C21166A" w14:textId="61F42167" w:rsidR="00957A9C" w:rsidRPr="00DA166C" w:rsidRDefault="00957A9C" w:rsidP="00957A9C">
      <w:pPr>
        <w:pStyle w:val="ListParagraph"/>
        <w:numPr>
          <w:ilvl w:val="2"/>
          <w:numId w:val="6"/>
        </w:numPr>
        <w:tabs>
          <w:tab w:val="left" w:pos="1661"/>
          <w:tab w:val="left" w:pos="1662"/>
        </w:tabs>
        <w:spacing w:before="123" w:after="160" w:line="259" w:lineRule="auto"/>
        <w:ind w:left="1661" w:right="350"/>
        <w:rPr>
          <w:rFonts w:ascii="Symbol" w:hAnsi="Symbol"/>
          <w:sz w:val="24"/>
          <w:szCs w:val="24"/>
        </w:rPr>
      </w:pPr>
      <w:r w:rsidRPr="00DA166C">
        <w:rPr>
          <w:sz w:val="24"/>
          <w:szCs w:val="24"/>
        </w:rPr>
        <w:t>scan</w:t>
      </w:r>
      <w:r w:rsidR="00A723C3" w:rsidRPr="00DA166C">
        <w:rPr>
          <w:sz w:val="24"/>
          <w:szCs w:val="24"/>
        </w:rPr>
        <w:t>ned copy</w:t>
      </w:r>
      <w:r w:rsidRPr="00DA166C">
        <w:rPr>
          <w:sz w:val="24"/>
          <w:szCs w:val="24"/>
        </w:rPr>
        <w:t xml:space="preserve"> of each candidate’s declaration and undertaking form (</w:t>
      </w:r>
      <w:r w:rsidRPr="00DA166C">
        <w:rPr>
          <w:b/>
          <w:sz w:val="24"/>
          <w:szCs w:val="24"/>
        </w:rPr>
        <w:t>Appendix 4C</w:t>
      </w:r>
      <w:r w:rsidRPr="00DA166C">
        <w:rPr>
          <w:sz w:val="24"/>
          <w:szCs w:val="24"/>
        </w:rPr>
        <w:t>); and</w:t>
      </w:r>
    </w:p>
    <w:p w14:paraId="1C65E9DB" w14:textId="3F4DC7CC" w:rsidR="00957A9C" w:rsidRPr="00DA166C" w:rsidRDefault="00957A9C" w:rsidP="00957A9C">
      <w:pPr>
        <w:pStyle w:val="ListParagraph"/>
        <w:numPr>
          <w:ilvl w:val="2"/>
          <w:numId w:val="6"/>
        </w:numPr>
        <w:tabs>
          <w:tab w:val="left" w:pos="1661"/>
          <w:tab w:val="left" w:pos="1662"/>
        </w:tabs>
        <w:spacing w:before="122" w:after="160" w:line="259" w:lineRule="auto"/>
        <w:ind w:left="1661" w:hanging="361"/>
        <w:rPr>
          <w:rFonts w:ascii="Symbol" w:hAnsi="Symbol"/>
          <w:sz w:val="24"/>
          <w:szCs w:val="24"/>
        </w:rPr>
      </w:pPr>
      <w:r w:rsidRPr="00DA166C">
        <w:rPr>
          <w:sz w:val="24"/>
          <w:szCs w:val="24"/>
        </w:rPr>
        <w:t>confirmation of DBS clearance for all candidates</w:t>
      </w:r>
      <w:r w:rsidR="00A723C3" w:rsidRPr="00DA166C">
        <w:rPr>
          <w:sz w:val="24"/>
          <w:szCs w:val="24"/>
        </w:rPr>
        <w:t>.</w:t>
      </w:r>
    </w:p>
    <w:p w14:paraId="789F3DDA" w14:textId="4128DF94" w:rsidR="00F36CE9" w:rsidRPr="00044375" w:rsidRDefault="6C36A335" w:rsidP="00F36CE9">
      <w:pPr>
        <w:pStyle w:val="Heading2"/>
        <w:rPr>
          <w:sz w:val="24"/>
          <w:szCs w:val="24"/>
        </w:rPr>
      </w:pPr>
      <w:r w:rsidRPr="53C1251C">
        <w:rPr>
          <w:sz w:val="24"/>
          <w:szCs w:val="24"/>
        </w:rPr>
        <w:t>The declaration and undertaking form</w:t>
      </w:r>
    </w:p>
    <w:p w14:paraId="709F53D9" w14:textId="0B5F69B6" w:rsidR="00A464C0" w:rsidRPr="00DA166C" w:rsidRDefault="6C36A335"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Where additional convictions/cautions</w:t>
      </w:r>
      <w:r w:rsidR="6F708C5E" w:rsidRPr="00DA166C">
        <w:rPr>
          <w:sz w:val="24"/>
          <w:szCs w:val="24"/>
        </w:rPr>
        <w:t>/other matters of interest</w:t>
      </w:r>
      <w:r w:rsidRPr="00DA166C">
        <w:rPr>
          <w:sz w:val="24"/>
          <w:szCs w:val="24"/>
        </w:rPr>
        <w:t xml:space="preserve"> have been </w:t>
      </w:r>
      <w:r w:rsidRPr="00DA166C">
        <w:rPr>
          <w:sz w:val="24"/>
          <w:szCs w:val="24"/>
        </w:rPr>
        <w:lastRenderedPageBreak/>
        <w:t>disclosed, this information needs to be reflected in the declaration and undertaking form (</w:t>
      </w:r>
      <w:r w:rsidRPr="00DA166C">
        <w:rPr>
          <w:b/>
          <w:bCs/>
          <w:sz w:val="24"/>
          <w:szCs w:val="24"/>
        </w:rPr>
        <w:t>Appendix 4C</w:t>
      </w:r>
      <w:r w:rsidRPr="00DA166C">
        <w:rPr>
          <w:sz w:val="24"/>
          <w:szCs w:val="24"/>
        </w:rPr>
        <w:t>).</w:t>
      </w:r>
    </w:p>
    <w:p w14:paraId="67471FC2" w14:textId="4B79D38F" w:rsidR="00A464C0" w:rsidRPr="00DA166C" w:rsidRDefault="51C50E27"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Advisory Committees must keep the original forms</w:t>
      </w:r>
      <w:r w:rsidR="74A32099" w:rsidRPr="00DA166C">
        <w:rPr>
          <w:sz w:val="24"/>
          <w:szCs w:val="24"/>
        </w:rPr>
        <w:t xml:space="preserve"> (securely either digitally or </w:t>
      </w:r>
      <w:r w:rsidR="5A575640" w:rsidRPr="00DA166C">
        <w:rPr>
          <w:sz w:val="24"/>
          <w:szCs w:val="24"/>
        </w:rPr>
        <w:t>physically)</w:t>
      </w:r>
      <w:r w:rsidRPr="00DA166C">
        <w:rPr>
          <w:sz w:val="24"/>
          <w:szCs w:val="24"/>
        </w:rPr>
        <w:t xml:space="preserve"> for active magistrates, and </w:t>
      </w:r>
      <w:r w:rsidR="0720A321" w:rsidRPr="00DA166C">
        <w:rPr>
          <w:sz w:val="24"/>
          <w:szCs w:val="24"/>
        </w:rPr>
        <w:t xml:space="preserve">securely </w:t>
      </w:r>
      <w:r w:rsidRPr="00DA166C">
        <w:rPr>
          <w:sz w:val="24"/>
          <w:szCs w:val="24"/>
        </w:rPr>
        <w:t>destroy</w:t>
      </w:r>
      <w:r w:rsidR="5A575640" w:rsidRPr="00DA166C">
        <w:rPr>
          <w:sz w:val="24"/>
          <w:szCs w:val="24"/>
        </w:rPr>
        <w:t xml:space="preserve"> all retained forms</w:t>
      </w:r>
      <w:r w:rsidRPr="00DA166C">
        <w:rPr>
          <w:sz w:val="24"/>
          <w:szCs w:val="24"/>
        </w:rPr>
        <w:t xml:space="preserve"> six years after they leave the bench.</w:t>
      </w:r>
    </w:p>
    <w:p w14:paraId="3E9488B4" w14:textId="1F98DDEA" w:rsidR="00A464C0" w:rsidRPr="00DA166C" w:rsidRDefault="00A464C0" w:rsidP="00A464C0">
      <w:pPr>
        <w:pStyle w:val="Heading2"/>
        <w:rPr>
          <w:sz w:val="28"/>
          <w:szCs w:val="28"/>
        </w:rPr>
      </w:pPr>
      <w:r w:rsidRPr="00DA166C">
        <w:rPr>
          <w:sz w:val="28"/>
          <w:szCs w:val="28"/>
        </w:rPr>
        <w:t>Notable information about candidates</w:t>
      </w:r>
    </w:p>
    <w:p w14:paraId="039D1686" w14:textId="1BB5F3D0" w:rsidR="005D622C" w:rsidRPr="00DA166C" w:rsidRDefault="5A575640"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The submission must include any information that needs to be highlighted about the candidates in the covering email. This includes any information about:</w:t>
      </w:r>
    </w:p>
    <w:p w14:paraId="46ED7E30" w14:textId="6D32138E" w:rsidR="000155E1" w:rsidRPr="00DA166C" w:rsidRDefault="005D622C" w:rsidP="000155E1">
      <w:pPr>
        <w:pStyle w:val="ListParagraph"/>
        <w:numPr>
          <w:ilvl w:val="0"/>
          <w:numId w:val="8"/>
        </w:numPr>
        <w:tabs>
          <w:tab w:val="left" w:pos="957"/>
          <w:tab w:val="left" w:pos="958"/>
        </w:tabs>
        <w:spacing w:before="61" w:after="160" w:line="259" w:lineRule="auto"/>
        <w:ind w:right="351"/>
        <w:rPr>
          <w:sz w:val="24"/>
          <w:szCs w:val="24"/>
        </w:rPr>
      </w:pPr>
      <w:r w:rsidRPr="00DA166C">
        <w:rPr>
          <w:sz w:val="24"/>
          <w:szCs w:val="24"/>
        </w:rPr>
        <w:t>candidates who have convictions, cautions or civil judgements</w:t>
      </w:r>
      <w:r w:rsidR="000155E1" w:rsidRPr="00DA166C">
        <w:rPr>
          <w:sz w:val="24"/>
          <w:szCs w:val="24"/>
        </w:rPr>
        <w:t>; and</w:t>
      </w:r>
      <w:r w:rsidRPr="00DA166C">
        <w:rPr>
          <w:sz w:val="24"/>
          <w:szCs w:val="24"/>
        </w:rPr>
        <w:t xml:space="preserve"> </w:t>
      </w:r>
    </w:p>
    <w:p w14:paraId="4F24CC13" w14:textId="66AE3C41" w:rsidR="00A464C0" w:rsidRPr="00DA166C" w:rsidRDefault="5A575640" w:rsidP="000155E1">
      <w:pPr>
        <w:pStyle w:val="ListParagraph"/>
        <w:numPr>
          <w:ilvl w:val="0"/>
          <w:numId w:val="8"/>
        </w:numPr>
        <w:tabs>
          <w:tab w:val="left" w:pos="957"/>
          <w:tab w:val="left" w:pos="958"/>
        </w:tabs>
        <w:spacing w:before="61" w:after="160" w:line="259" w:lineRule="auto"/>
        <w:ind w:right="351"/>
        <w:rPr>
          <w:sz w:val="24"/>
          <w:szCs w:val="24"/>
        </w:rPr>
      </w:pPr>
      <w:r w:rsidRPr="00DA166C">
        <w:rPr>
          <w:sz w:val="24"/>
          <w:szCs w:val="24"/>
        </w:rPr>
        <w:t xml:space="preserve">any candidates who are being recommended for appointment in circumstances where their eligibility may be called into question; for example, candidates </w:t>
      </w:r>
      <w:r w:rsidR="576EF156" w:rsidRPr="00DA166C">
        <w:rPr>
          <w:sz w:val="24"/>
          <w:szCs w:val="24"/>
        </w:rPr>
        <w:t xml:space="preserve">less than five years from the statutory retirement age, </w:t>
      </w:r>
      <w:r w:rsidRPr="00DA166C">
        <w:rPr>
          <w:sz w:val="24"/>
          <w:szCs w:val="24"/>
        </w:rPr>
        <w:t>or whose employment (or that of a close relative) would normally disqualify them from appointment</w:t>
      </w:r>
      <w:r w:rsidR="1CE94F70" w:rsidRPr="00DA166C">
        <w:rPr>
          <w:sz w:val="24"/>
          <w:szCs w:val="24"/>
        </w:rPr>
        <w:t>; and</w:t>
      </w:r>
    </w:p>
    <w:p w14:paraId="255CD816" w14:textId="42AE0DB9" w:rsidR="00F04F0C" w:rsidRPr="00DA166C" w:rsidRDefault="00044375" w:rsidP="000155E1">
      <w:pPr>
        <w:pStyle w:val="ListParagraph"/>
        <w:numPr>
          <w:ilvl w:val="0"/>
          <w:numId w:val="8"/>
        </w:numPr>
        <w:tabs>
          <w:tab w:val="left" w:pos="957"/>
          <w:tab w:val="left" w:pos="958"/>
        </w:tabs>
        <w:spacing w:before="61" w:after="160" w:line="259" w:lineRule="auto"/>
        <w:ind w:right="351"/>
        <w:rPr>
          <w:sz w:val="24"/>
          <w:szCs w:val="24"/>
        </w:rPr>
      </w:pPr>
      <w:r w:rsidRPr="00DA166C">
        <w:rPr>
          <w:sz w:val="24"/>
          <w:szCs w:val="24"/>
        </w:rPr>
        <w:t>any candidates for whom there are possible safeguards to effectively manage the risk of any potential conflict of interest; and</w:t>
      </w:r>
    </w:p>
    <w:p w14:paraId="60DF28A4" w14:textId="1EDC2989" w:rsidR="006E209A" w:rsidRPr="00DA166C" w:rsidRDefault="006E209A" w:rsidP="000155E1">
      <w:pPr>
        <w:pStyle w:val="ListParagraph"/>
        <w:numPr>
          <w:ilvl w:val="0"/>
          <w:numId w:val="8"/>
        </w:numPr>
        <w:tabs>
          <w:tab w:val="left" w:pos="957"/>
          <w:tab w:val="left" w:pos="958"/>
        </w:tabs>
        <w:spacing w:before="61" w:after="160" w:line="259" w:lineRule="auto"/>
        <w:ind w:right="351"/>
        <w:rPr>
          <w:sz w:val="24"/>
          <w:szCs w:val="24"/>
        </w:rPr>
      </w:pPr>
      <w:r w:rsidRPr="00DA166C">
        <w:rPr>
          <w:sz w:val="24"/>
          <w:szCs w:val="24"/>
        </w:rPr>
        <w:t xml:space="preserve">any other information the Secretary considers </w:t>
      </w:r>
      <w:r w:rsidR="00A12FF8" w:rsidRPr="00DA166C">
        <w:rPr>
          <w:sz w:val="24"/>
          <w:szCs w:val="24"/>
        </w:rPr>
        <w:t>relevant to any candidate.</w:t>
      </w:r>
    </w:p>
    <w:p w14:paraId="17C17D1C" w14:textId="454A7B34" w:rsidR="00A464C0" w:rsidRPr="00DA166C" w:rsidRDefault="0921C039"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The Senior Presiding Judge is prepared to consider recommendations for appointment in these instances</w:t>
      </w:r>
      <w:r w:rsidR="3FA81463" w:rsidRPr="00DA166C">
        <w:rPr>
          <w:sz w:val="24"/>
          <w:szCs w:val="24"/>
        </w:rPr>
        <w:t xml:space="preserve"> but</w:t>
      </w:r>
      <w:r w:rsidR="53440E5B" w:rsidRPr="00DA166C">
        <w:rPr>
          <w:sz w:val="24"/>
          <w:szCs w:val="24"/>
        </w:rPr>
        <w:t xml:space="preserve"> </w:t>
      </w:r>
      <w:r w:rsidRPr="00DA166C">
        <w:rPr>
          <w:sz w:val="24"/>
          <w:szCs w:val="24"/>
        </w:rPr>
        <w:t>in order to do so, will expect Judicial Office HR to be able to advise about the Advisory Committee’s rationale for recommending the candidate.</w:t>
      </w:r>
    </w:p>
    <w:p w14:paraId="1B9120A8" w14:textId="4CBF219E" w:rsidR="00044375" w:rsidRPr="00DA166C" w:rsidRDefault="00547C56"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 xml:space="preserve">Advisory </w:t>
      </w:r>
      <w:r w:rsidR="54408ACF" w:rsidRPr="00DA166C">
        <w:rPr>
          <w:sz w:val="24"/>
          <w:szCs w:val="24"/>
        </w:rPr>
        <w:t>Committees are asked to note that it is their responsibility to ensure that submissions contain the required information and that failure to do so is likely to delay consideration of appointments.</w:t>
      </w:r>
    </w:p>
    <w:p w14:paraId="1DA025E7" w14:textId="0C5E95D6" w:rsidR="00044375" w:rsidRPr="00DA166C" w:rsidRDefault="00044375" w:rsidP="00044375">
      <w:pPr>
        <w:pStyle w:val="Heading2"/>
        <w:rPr>
          <w:sz w:val="28"/>
          <w:szCs w:val="28"/>
        </w:rPr>
      </w:pPr>
      <w:r w:rsidRPr="00DA166C">
        <w:rPr>
          <w:sz w:val="28"/>
          <w:szCs w:val="28"/>
        </w:rPr>
        <w:t>Candidates with convictions, cautions or civil orders</w:t>
      </w:r>
    </w:p>
    <w:p w14:paraId="32681562" w14:textId="1694CE21" w:rsidR="00044375" w:rsidRPr="00DA166C" w:rsidRDefault="54408ACF"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 xml:space="preserve">The Senior Presiding Judge will not appoint anyone in whom the public would be unlikely to have confidence. </w:t>
      </w:r>
      <w:r w:rsidR="6FAF9103" w:rsidRPr="00DA166C">
        <w:rPr>
          <w:sz w:val="24"/>
          <w:szCs w:val="24"/>
        </w:rPr>
        <w:t xml:space="preserve">More detail on this is available in Part 2 of these Directions. </w:t>
      </w:r>
      <w:r w:rsidRPr="00DA166C">
        <w:rPr>
          <w:sz w:val="24"/>
          <w:szCs w:val="24"/>
        </w:rPr>
        <w:t xml:space="preserve">Full information </w:t>
      </w:r>
      <w:r w:rsidR="1BA3D65D" w:rsidRPr="00DA166C">
        <w:rPr>
          <w:sz w:val="24"/>
          <w:szCs w:val="24"/>
        </w:rPr>
        <w:t>about</w:t>
      </w:r>
      <w:r w:rsidRPr="00DA166C">
        <w:rPr>
          <w:sz w:val="24"/>
          <w:szCs w:val="24"/>
        </w:rPr>
        <w:t xml:space="preserve"> any convictions, cautions or civil orders incurred by candidates recommended for appointment is therefore required.</w:t>
      </w:r>
    </w:p>
    <w:p w14:paraId="797DD9BD" w14:textId="45E40071" w:rsidR="003A2082" w:rsidRDefault="73B3B4F4"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The table below summarises the information that should be provided about candidates in these circumstances, including where they have a spouse/civil partner/partner/close family member or relative who has received convictions, civil court judgments, and penalty notices within the same timescale and framework for disclosure as applies to candidates.</w:t>
      </w:r>
    </w:p>
    <w:p w14:paraId="56F1D2C7" w14:textId="21CFFAE7" w:rsidR="00656BBB" w:rsidRDefault="00656BBB" w:rsidP="00656BBB">
      <w:pPr>
        <w:tabs>
          <w:tab w:val="left" w:pos="957"/>
          <w:tab w:val="left" w:pos="958"/>
        </w:tabs>
        <w:spacing w:before="61" w:after="160" w:line="259" w:lineRule="auto"/>
        <w:ind w:left="221" w:right="351"/>
        <w:rPr>
          <w:sz w:val="24"/>
          <w:szCs w:val="24"/>
        </w:rPr>
      </w:pPr>
    </w:p>
    <w:p w14:paraId="42D92DF5" w14:textId="77777777" w:rsidR="00656BBB" w:rsidRPr="00DA166C" w:rsidRDefault="00656BBB" w:rsidP="00160B30">
      <w:pPr>
        <w:tabs>
          <w:tab w:val="left" w:pos="957"/>
          <w:tab w:val="left" w:pos="958"/>
        </w:tabs>
        <w:spacing w:before="61" w:after="160" w:line="259" w:lineRule="auto"/>
        <w:ind w:left="221" w:right="351"/>
        <w:rPr>
          <w:sz w:val="24"/>
          <w:szCs w:val="24"/>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6"/>
        <w:gridCol w:w="6057"/>
      </w:tblGrid>
      <w:tr w:rsidR="003A2082" w:rsidRPr="00347358" w14:paraId="5147A4FE" w14:textId="77777777" w:rsidTr="5EDBAFF8">
        <w:trPr>
          <w:trHeight w:val="494"/>
        </w:trPr>
        <w:tc>
          <w:tcPr>
            <w:tcW w:w="3156" w:type="dxa"/>
          </w:tcPr>
          <w:p w14:paraId="012E4BC6" w14:textId="77777777" w:rsidR="003A2082" w:rsidRPr="003A2082" w:rsidRDefault="003A2082" w:rsidP="00152B14">
            <w:pPr>
              <w:pStyle w:val="TableParagraph"/>
              <w:spacing w:after="160" w:line="259" w:lineRule="auto"/>
              <w:ind w:left="105" w:firstLine="0"/>
              <w:rPr>
                <w:b/>
                <w:bCs/>
              </w:rPr>
            </w:pPr>
            <w:r w:rsidRPr="003A2082">
              <w:rPr>
                <w:b/>
                <w:bCs/>
              </w:rPr>
              <w:lastRenderedPageBreak/>
              <w:t>Matter</w:t>
            </w:r>
          </w:p>
        </w:tc>
        <w:tc>
          <w:tcPr>
            <w:tcW w:w="6057" w:type="dxa"/>
          </w:tcPr>
          <w:p w14:paraId="681D90C4" w14:textId="77777777" w:rsidR="003A2082" w:rsidRPr="003A2082" w:rsidRDefault="003A2082" w:rsidP="00152B14">
            <w:pPr>
              <w:pStyle w:val="TableParagraph"/>
              <w:spacing w:after="160" w:line="259" w:lineRule="auto"/>
              <w:ind w:left="107" w:firstLine="0"/>
              <w:rPr>
                <w:b/>
                <w:bCs/>
              </w:rPr>
            </w:pPr>
            <w:r w:rsidRPr="003A2082">
              <w:rPr>
                <w:b/>
                <w:bCs/>
              </w:rPr>
              <w:t>Information Required</w:t>
            </w:r>
          </w:p>
        </w:tc>
      </w:tr>
      <w:tr w:rsidR="003A2082" w:rsidRPr="00347358" w14:paraId="08D41BD3" w14:textId="77777777" w:rsidTr="5EDBAFF8">
        <w:trPr>
          <w:trHeight w:val="1307"/>
        </w:trPr>
        <w:tc>
          <w:tcPr>
            <w:tcW w:w="3156" w:type="dxa"/>
          </w:tcPr>
          <w:p w14:paraId="449177E5" w14:textId="77777777" w:rsidR="003A2082" w:rsidRPr="00347358" w:rsidRDefault="225516CA" w:rsidP="00152B14">
            <w:pPr>
              <w:pStyle w:val="TableParagraph"/>
              <w:spacing w:after="160" w:line="259" w:lineRule="auto"/>
              <w:ind w:left="105" w:right="102" w:firstLine="0"/>
            </w:pPr>
            <w:r>
              <w:t>Driving offence dealt with by fixed penalty or attendance of a driving awareness course</w:t>
            </w:r>
          </w:p>
        </w:tc>
        <w:tc>
          <w:tcPr>
            <w:tcW w:w="6057" w:type="dxa"/>
          </w:tcPr>
          <w:p w14:paraId="1BB15AF2" w14:textId="77777777" w:rsidR="003A2082" w:rsidRPr="00347358" w:rsidRDefault="003A2082" w:rsidP="00152B14">
            <w:pPr>
              <w:pStyle w:val="TableParagraph"/>
              <w:numPr>
                <w:ilvl w:val="0"/>
                <w:numId w:val="5"/>
              </w:numPr>
              <w:tabs>
                <w:tab w:val="left" w:pos="465"/>
                <w:tab w:val="left" w:pos="466"/>
              </w:tabs>
              <w:spacing w:after="160" w:line="259" w:lineRule="auto"/>
              <w:ind w:hanging="359"/>
            </w:pPr>
            <w:r w:rsidRPr="00347358">
              <w:t>Date of offence (at least year)</w:t>
            </w:r>
          </w:p>
          <w:p w14:paraId="7DFAA5B7" w14:textId="77777777" w:rsidR="003A2082" w:rsidRPr="00347358" w:rsidRDefault="003A2082" w:rsidP="00152B14">
            <w:pPr>
              <w:pStyle w:val="TableParagraph"/>
              <w:numPr>
                <w:ilvl w:val="0"/>
                <w:numId w:val="5"/>
              </w:numPr>
              <w:tabs>
                <w:tab w:val="left" w:pos="465"/>
                <w:tab w:val="left" w:pos="466"/>
              </w:tabs>
              <w:spacing w:after="160" w:line="259" w:lineRule="auto"/>
              <w:ind w:hanging="359"/>
            </w:pPr>
            <w:r w:rsidRPr="00347358">
              <w:t>Nature of offence</w:t>
            </w:r>
          </w:p>
          <w:p w14:paraId="13B45957" w14:textId="02F76740" w:rsidR="003A2082" w:rsidRPr="00347358" w:rsidRDefault="225516CA" w:rsidP="00152B14">
            <w:pPr>
              <w:pStyle w:val="TableParagraph"/>
              <w:numPr>
                <w:ilvl w:val="0"/>
                <w:numId w:val="5"/>
              </w:numPr>
              <w:tabs>
                <w:tab w:val="left" w:pos="465"/>
                <w:tab w:val="left" w:pos="466"/>
              </w:tabs>
              <w:spacing w:before="2" w:after="160" w:line="259" w:lineRule="auto"/>
              <w:ind w:right="400"/>
            </w:pPr>
            <w:r>
              <w:t>Penalty (at least number of points and</w:t>
            </w:r>
            <w:r w:rsidR="50AE5540">
              <w:t>,</w:t>
            </w:r>
            <w:r>
              <w:t xml:space="preserve"> if </w:t>
            </w:r>
            <w:r w:rsidR="50AE5540">
              <w:t>possible,</w:t>
            </w:r>
            <w:r>
              <w:t xml:space="preserve"> amount of fine)</w:t>
            </w:r>
          </w:p>
        </w:tc>
      </w:tr>
      <w:tr w:rsidR="003A2082" w:rsidRPr="00347358" w14:paraId="1E258D80" w14:textId="77777777" w:rsidTr="5EDBAFF8">
        <w:trPr>
          <w:trHeight w:val="3127"/>
        </w:trPr>
        <w:tc>
          <w:tcPr>
            <w:tcW w:w="3156" w:type="dxa"/>
          </w:tcPr>
          <w:p w14:paraId="4C3C307D" w14:textId="77777777" w:rsidR="003A2082" w:rsidRPr="00347358" w:rsidRDefault="003A2082" w:rsidP="00152B14">
            <w:pPr>
              <w:pStyle w:val="TableParagraph"/>
              <w:spacing w:before="2" w:after="160" w:line="259" w:lineRule="auto"/>
              <w:ind w:left="105" w:right="260" w:firstLine="0"/>
            </w:pPr>
            <w:r w:rsidRPr="00347358">
              <w:t>Convictions and Cautions (including driving offences dealt with by a court)</w:t>
            </w:r>
          </w:p>
        </w:tc>
        <w:tc>
          <w:tcPr>
            <w:tcW w:w="6057" w:type="dxa"/>
          </w:tcPr>
          <w:p w14:paraId="3C1D0626" w14:textId="77777777" w:rsidR="003A2082" w:rsidRPr="00347358" w:rsidRDefault="003A2082" w:rsidP="00152B14">
            <w:pPr>
              <w:pStyle w:val="TableParagraph"/>
              <w:numPr>
                <w:ilvl w:val="0"/>
                <w:numId w:val="4"/>
              </w:numPr>
              <w:tabs>
                <w:tab w:val="left" w:pos="465"/>
                <w:tab w:val="left" w:pos="466"/>
              </w:tabs>
              <w:spacing w:before="2" w:after="160" w:line="259" w:lineRule="auto"/>
              <w:ind w:hanging="359"/>
            </w:pPr>
            <w:r w:rsidRPr="00347358">
              <w:t>Date of offence (at least year)</w:t>
            </w:r>
          </w:p>
          <w:p w14:paraId="4081B85F" w14:textId="77777777" w:rsidR="003A2082" w:rsidRPr="00347358" w:rsidRDefault="003A2082" w:rsidP="00152B14">
            <w:pPr>
              <w:pStyle w:val="TableParagraph"/>
              <w:numPr>
                <w:ilvl w:val="0"/>
                <w:numId w:val="4"/>
              </w:numPr>
              <w:tabs>
                <w:tab w:val="left" w:pos="465"/>
                <w:tab w:val="left" w:pos="466"/>
              </w:tabs>
              <w:spacing w:after="160" w:line="259" w:lineRule="auto"/>
              <w:ind w:hanging="359"/>
            </w:pPr>
            <w:r w:rsidRPr="00347358">
              <w:t>Nature of offence</w:t>
            </w:r>
          </w:p>
          <w:p w14:paraId="4B8AE2D0" w14:textId="77777777" w:rsidR="003A2082" w:rsidRPr="00347358" w:rsidRDefault="003A2082" w:rsidP="00152B14">
            <w:pPr>
              <w:pStyle w:val="TableParagraph"/>
              <w:numPr>
                <w:ilvl w:val="0"/>
                <w:numId w:val="4"/>
              </w:numPr>
              <w:tabs>
                <w:tab w:val="left" w:pos="465"/>
                <w:tab w:val="left" w:pos="466"/>
              </w:tabs>
              <w:spacing w:after="160" w:line="259" w:lineRule="auto"/>
              <w:ind w:right="137"/>
            </w:pPr>
            <w:r w:rsidRPr="00347358">
              <w:t>(If applicable) Court at which the case was heard</w:t>
            </w:r>
          </w:p>
          <w:p w14:paraId="2A2C1849" w14:textId="77777777" w:rsidR="003A2082" w:rsidRPr="00347358" w:rsidRDefault="003A2082" w:rsidP="00152B14">
            <w:pPr>
              <w:pStyle w:val="TableParagraph"/>
              <w:numPr>
                <w:ilvl w:val="0"/>
                <w:numId w:val="4"/>
              </w:numPr>
              <w:tabs>
                <w:tab w:val="left" w:pos="465"/>
                <w:tab w:val="left" w:pos="466"/>
              </w:tabs>
              <w:spacing w:before="1" w:after="160" w:line="259" w:lineRule="auto"/>
              <w:ind w:hanging="359"/>
            </w:pPr>
            <w:r w:rsidRPr="00347358">
              <w:t>Penalty imposed</w:t>
            </w:r>
          </w:p>
          <w:p w14:paraId="78AC705F" w14:textId="77777777" w:rsidR="003A2082" w:rsidRPr="00347358" w:rsidRDefault="003A2082" w:rsidP="00152B14">
            <w:pPr>
              <w:pStyle w:val="TableParagraph"/>
              <w:numPr>
                <w:ilvl w:val="0"/>
                <w:numId w:val="4"/>
              </w:numPr>
              <w:tabs>
                <w:tab w:val="left" w:pos="465"/>
                <w:tab w:val="left" w:pos="466"/>
              </w:tabs>
              <w:spacing w:before="2" w:after="160" w:line="259" w:lineRule="auto"/>
              <w:ind w:right="142"/>
            </w:pPr>
            <w:r w:rsidRPr="00347358">
              <w:t>Any explanation of circumstances in which offence occurred including any mitigating factors</w:t>
            </w:r>
          </w:p>
          <w:p w14:paraId="0A5FF423" w14:textId="66671F6A" w:rsidR="003A2082" w:rsidRPr="00347358" w:rsidRDefault="00877F97" w:rsidP="00152B14">
            <w:pPr>
              <w:pStyle w:val="TableParagraph"/>
              <w:numPr>
                <w:ilvl w:val="0"/>
                <w:numId w:val="4"/>
              </w:numPr>
              <w:tabs>
                <w:tab w:val="left" w:pos="465"/>
                <w:tab w:val="left" w:pos="466"/>
              </w:tabs>
              <w:spacing w:before="4" w:after="160" w:line="259" w:lineRule="auto"/>
              <w:ind w:right="191"/>
            </w:pPr>
            <w:r>
              <w:t>Rationale</w:t>
            </w:r>
            <w:r w:rsidR="003A2082" w:rsidRPr="00347358">
              <w:t xml:space="preserve"> for decision to recommend for appointment.</w:t>
            </w:r>
          </w:p>
        </w:tc>
      </w:tr>
      <w:tr w:rsidR="003A2082" w:rsidRPr="00347358" w14:paraId="7594711C" w14:textId="77777777" w:rsidTr="5EDBAFF8">
        <w:trPr>
          <w:trHeight w:val="2334"/>
        </w:trPr>
        <w:tc>
          <w:tcPr>
            <w:tcW w:w="3156" w:type="dxa"/>
          </w:tcPr>
          <w:p w14:paraId="21B2367A" w14:textId="77777777" w:rsidR="003A2082" w:rsidRPr="00347358" w:rsidRDefault="003A2082" w:rsidP="00152B14">
            <w:pPr>
              <w:pStyle w:val="TableParagraph"/>
              <w:spacing w:after="160" w:line="259" w:lineRule="auto"/>
              <w:ind w:left="105" w:firstLine="0"/>
            </w:pPr>
            <w:r w:rsidRPr="00347358">
              <w:t>Civil judgments</w:t>
            </w:r>
          </w:p>
        </w:tc>
        <w:tc>
          <w:tcPr>
            <w:tcW w:w="6057" w:type="dxa"/>
          </w:tcPr>
          <w:p w14:paraId="4CE0AB07" w14:textId="77777777" w:rsidR="003A2082" w:rsidRPr="00347358" w:rsidRDefault="003A2082" w:rsidP="00152B14">
            <w:pPr>
              <w:pStyle w:val="TableParagraph"/>
              <w:numPr>
                <w:ilvl w:val="0"/>
                <w:numId w:val="3"/>
              </w:numPr>
              <w:tabs>
                <w:tab w:val="left" w:pos="465"/>
                <w:tab w:val="left" w:pos="466"/>
              </w:tabs>
              <w:spacing w:after="160" w:line="259" w:lineRule="auto"/>
              <w:ind w:hanging="359"/>
            </w:pPr>
            <w:r w:rsidRPr="00347358">
              <w:t>Date of judgment</w:t>
            </w:r>
          </w:p>
          <w:p w14:paraId="620E1B09" w14:textId="77777777" w:rsidR="003A2082" w:rsidRPr="00347358" w:rsidRDefault="003A2082" w:rsidP="00152B14">
            <w:pPr>
              <w:pStyle w:val="TableParagraph"/>
              <w:numPr>
                <w:ilvl w:val="0"/>
                <w:numId w:val="3"/>
              </w:numPr>
              <w:tabs>
                <w:tab w:val="left" w:pos="465"/>
                <w:tab w:val="left" w:pos="466"/>
              </w:tabs>
              <w:spacing w:after="160" w:line="259" w:lineRule="auto"/>
              <w:ind w:hanging="359"/>
            </w:pPr>
            <w:r w:rsidRPr="00347358">
              <w:t>Details of the judgment</w:t>
            </w:r>
          </w:p>
          <w:p w14:paraId="52300CE6" w14:textId="77777777" w:rsidR="003A2082" w:rsidRPr="00347358" w:rsidRDefault="003A2082" w:rsidP="00152B14">
            <w:pPr>
              <w:pStyle w:val="TableParagraph"/>
              <w:numPr>
                <w:ilvl w:val="0"/>
                <w:numId w:val="3"/>
              </w:numPr>
              <w:tabs>
                <w:tab w:val="left" w:pos="465"/>
                <w:tab w:val="left" w:pos="466"/>
              </w:tabs>
              <w:spacing w:after="160" w:line="259" w:lineRule="auto"/>
              <w:ind w:right="214"/>
            </w:pPr>
            <w:r w:rsidRPr="00347358">
              <w:t>Any explanation of circumstances that led to the civil action including any mitigating factors</w:t>
            </w:r>
          </w:p>
          <w:p w14:paraId="186BAB39" w14:textId="1D2D1D78" w:rsidR="003A2082" w:rsidRPr="00347358" w:rsidRDefault="00877F97" w:rsidP="00152B14">
            <w:pPr>
              <w:pStyle w:val="TableParagraph"/>
              <w:numPr>
                <w:ilvl w:val="0"/>
                <w:numId w:val="3"/>
              </w:numPr>
              <w:tabs>
                <w:tab w:val="left" w:pos="465"/>
                <w:tab w:val="left" w:pos="466"/>
              </w:tabs>
              <w:spacing w:after="160" w:line="259" w:lineRule="auto"/>
              <w:ind w:right="191"/>
            </w:pPr>
            <w:r>
              <w:t>Rationale</w:t>
            </w:r>
            <w:r w:rsidR="003A2082" w:rsidRPr="00347358">
              <w:t xml:space="preserve"> for decision to recommend for appointment.</w:t>
            </w:r>
          </w:p>
        </w:tc>
      </w:tr>
      <w:tr w:rsidR="003A2082" w:rsidRPr="00347358" w14:paraId="52ED6AB2" w14:textId="77777777" w:rsidTr="5EDBAFF8">
        <w:trPr>
          <w:trHeight w:val="2604"/>
        </w:trPr>
        <w:tc>
          <w:tcPr>
            <w:tcW w:w="3156" w:type="dxa"/>
          </w:tcPr>
          <w:p w14:paraId="5AC44358" w14:textId="3EE4F83E" w:rsidR="003A2082" w:rsidRPr="00347358" w:rsidRDefault="003A2082" w:rsidP="00152B14">
            <w:pPr>
              <w:pStyle w:val="TableParagraph"/>
              <w:spacing w:after="160" w:line="259" w:lineRule="auto"/>
              <w:ind w:left="105" w:right="1117" w:firstLine="0"/>
            </w:pPr>
            <w:r w:rsidRPr="00347358">
              <w:t>Bankruptcy / Insolvency</w:t>
            </w:r>
          </w:p>
        </w:tc>
        <w:tc>
          <w:tcPr>
            <w:tcW w:w="6057" w:type="dxa"/>
          </w:tcPr>
          <w:p w14:paraId="365870B2" w14:textId="77777777" w:rsidR="003A2082" w:rsidRPr="00347358" w:rsidRDefault="003A2082" w:rsidP="00152B14">
            <w:pPr>
              <w:pStyle w:val="TableParagraph"/>
              <w:numPr>
                <w:ilvl w:val="0"/>
                <w:numId w:val="2"/>
              </w:numPr>
              <w:tabs>
                <w:tab w:val="left" w:pos="465"/>
                <w:tab w:val="left" w:pos="466"/>
              </w:tabs>
              <w:spacing w:before="4" w:after="160" w:line="259" w:lineRule="auto"/>
              <w:ind w:right="701"/>
            </w:pPr>
            <w:r w:rsidRPr="00347358">
              <w:t>Date candidate was discharged from bankruptcy (in the last five years)</w:t>
            </w:r>
          </w:p>
          <w:p w14:paraId="79E81B73" w14:textId="77777777" w:rsidR="003A2082" w:rsidRPr="00347358" w:rsidRDefault="003A2082" w:rsidP="00152B14">
            <w:pPr>
              <w:pStyle w:val="TableParagraph"/>
              <w:numPr>
                <w:ilvl w:val="0"/>
                <w:numId w:val="2"/>
              </w:numPr>
              <w:tabs>
                <w:tab w:val="left" w:pos="465"/>
                <w:tab w:val="left" w:pos="466"/>
              </w:tabs>
              <w:spacing w:before="4" w:after="160" w:line="259" w:lineRule="auto"/>
              <w:ind w:right="250"/>
            </w:pPr>
            <w:r w:rsidRPr="00347358">
              <w:t>Is an Individual Voluntary Arrangement in place?</w:t>
            </w:r>
          </w:p>
          <w:p w14:paraId="58721338" w14:textId="77777777" w:rsidR="003A2082" w:rsidRPr="00347358" w:rsidRDefault="003A2082" w:rsidP="00152B14">
            <w:pPr>
              <w:pStyle w:val="TableParagraph"/>
              <w:numPr>
                <w:ilvl w:val="0"/>
                <w:numId w:val="2"/>
              </w:numPr>
              <w:tabs>
                <w:tab w:val="left" w:pos="465"/>
                <w:tab w:val="left" w:pos="466"/>
              </w:tabs>
              <w:spacing w:before="3" w:after="160" w:line="259" w:lineRule="auto"/>
              <w:ind w:right="847"/>
            </w:pPr>
            <w:r w:rsidRPr="00347358">
              <w:t>Personal bankruptcy or related to a company directorship?</w:t>
            </w:r>
          </w:p>
          <w:p w14:paraId="2B5842B5" w14:textId="77777777" w:rsidR="003A2082" w:rsidRPr="00347358" w:rsidRDefault="003A2082" w:rsidP="00152B14">
            <w:pPr>
              <w:pStyle w:val="TableParagraph"/>
              <w:numPr>
                <w:ilvl w:val="0"/>
                <w:numId w:val="2"/>
              </w:numPr>
              <w:tabs>
                <w:tab w:val="left" w:pos="466"/>
              </w:tabs>
              <w:spacing w:before="4" w:after="160" w:line="259" w:lineRule="auto"/>
              <w:ind w:right="187"/>
              <w:jc w:val="both"/>
            </w:pPr>
            <w:r w:rsidRPr="00347358">
              <w:t>Has the candidate started a new business enterprise similar to the previous one that went insolvent?</w:t>
            </w:r>
          </w:p>
          <w:p w14:paraId="7B1A8C96" w14:textId="1FF7ECB8" w:rsidR="003A2082" w:rsidRPr="00347358" w:rsidRDefault="003A2082" w:rsidP="00152B14">
            <w:pPr>
              <w:pStyle w:val="TableParagraph"/>
              <w:numPr>
                <w:ilvl w:val="0"/>
                <w:numId w:val="2"/>
              </w:numPr>
              <w:tabs>
                <w:tab w:val="left" w:pos="466"/>
              </w:tabs>
              <w:spacing w:before="3" w:after="160" w:line="259" w:lineRule="auto"/>
              <w:ind w:hanging="359"/>
              <w:jc w:val="both"/>
            </w:pPr>
            <w:r w:rsidRPr="00347358">
              <w:t>Information on any outstanding creditors.</w:t>
            </w:r>
          </w:p>
          <w:p w14:paraId="7403DACA" w14:textId="6A275E1C" w:rsidR="003A2082" w:rsidRPr="00347358" w:rsidRDefault="734AC14D" w:rsidP="00152B14">
            <w:pPr>
              <w:pStyle w:val="TableParagraph"/>
              <w:numPr>
                <w:ilvl w:val="0"/>
                <w:numId w:val="2"/>
              </w:numPr>
              <w:tabs>
                <w:tab w:val="left" w:pos="466"/>
              </w:tabs>
              <w:spacing w:before="3" w:after="160" w:line="259" w:lineRule="auto"/>
              <w:ind w:hanging="359"/>
              <w:jc w:val="both"/>
              <w:rPr>
                <w:rFonts w:asciiTheme="minorHAnsi" w:eastAsiaTheme="minorEastAsia" w:hAnsiTheme="minorHAnsi" w:cstheme="minorBidi"/>
              </w:rPr>
            </w:pPr>
            <w:r w:rsidRPr="1CB19DF1">
              <w:rPr>
                <w:color w:val="18131F"/>
              </w:rPr>
              <w:t>H</w:t>
            </w:r>
            <w:r w:rsidRPr="00F850BF">
              <w:rPr>
                <w:color w:val="18131F"/>
              </w:rPr>
              <w:t>as a debt relief order or interim debt relief order</w:t>
            </w:r>
            <w:r w:rsidRPr="1CB19DF1">
              <w:rPr>
                <w:color w:val="18131F"/>
              </w:rPr>
              <w:t xml:space="preserve"> been made</w:t>
            </w:r>
            <w:r w:rsidRPr="00F850BF">
              <w:rPr>
                <w:color w:val="18131F"/>
              </w:rPr>
              <w:t xml:space="preserve"> against them or entered into an arrangement with their creditors?</w:t>
            </w:r>
          </w:p>
        </w:tc>
      </w:tr>
    </w:tbl>
    <w:p w14:paraId="6EFA3C61" w14:textId="057495C2" w:rsidR="003A2082" w:rsidRDefault="003A2082" w:rsidP="003A2082">
      <w:pPr>
        <w:tabs>
          <w:tab w:val="left" w:pos="957"/>
          <w:tab w:val="left" w:pos="958"/>
        </w:tabs>
        <w:spacing w:before="61" w:after="160" w:line="259" w:lineRule="auto"/>
        <w:ind w:left="221" w:right="351"/>
      </w:pPr>
    </w:p>
    <w:p w14:paraId="0947B669" w14:textId="6071811A" w:rsidR="00044375" w:rsidRPr="00044375" w:rsidRDefault="00044375" w:rsidP="00044375">
      <w:pPr>
        <w:pStyle w:val="Heading2"/>
        <w:rPr>
          <w:sz w:val="24"/>
          <w:szCs w:val="24"/>
        </w:rPr>
      </w:pPr>
      <w:r>
        <w:rPr>
          <w:sz w:val="24"/>
          <w:szCs w:val="24"/>
        </w:rPr>
        <w:t>Civil proceedings</w:t>
      </w:r>
    </w:p>
    <w:p w14:paraId="36401296" w14:textId="18D5957C" w:rsidR="00A464C0" w:rsidRPr="00DA166C" w:rsidRDefault="1BA3D65D" w:rsidP="00862745">
      <w:pPr>
        <w:pStyle w:val="ListParagraph"/>
        <w:numPr>
          <w:ilvl w:val="1"/>
          <w:numId w:val="6"/>
        </w:numPr>
        <w:tabs>
          <w:tab w:val="left" w:pos="957"/>
          <w:tab w:val="left" w:pos="958"/>
        </w:tabs>
        <w:spacing w:after="160" w:line="259" w:lineRule="auto"/>
        <w:ind w:right="299"/>
        <w:rPr>
          <w:sz w:val="24"/>
          <w:szCs w:val="24"/>
        </w:rPr>
      </w:pPr>
      <w:r w:rsidRPr="00DA166C">
        <w:rPr>
          <w:sz w:val="24"/>
          <w:szCs w:val="24"/>
        </w:rPr>
        <w:t xml:space="preserve">Where a candidate has been divorced and has children under </w:t>
      </w:r>
      <w:r w:rsidR="00CA61DA" w:rsidRPr="00DA166C">
        <w:rPr>
          <w:sz w:val="24"/>
          <w:szCs w:val="24"/>
        </w:rPr>
        <w:t xml:space="preserve">the age of </w:t>
      </w:r>
      <w:r w:rsidRPr="00DA166C">
        <w:rPr>
          <w:sz w:val="24"/>
          <w:szCs w:val="24"/>
        </w:rPr>
        <w:t>18, Advisory Committees should ascertain whether there are any maintenance orders in force, whether payments are up to date, and at which court they are enforceable. If the order is enforceable in the same Local Justice Area to which the candidates may be appointed, the Committee must confirm that it will make arrangements to transfer the order should it need to be enforced.</w:t>
      </w:r>
    </w:p>
    <w:p w14:paraId="6E8A9F64" w14:textId="40DADD80" w:rsidR="00A464C0" w:rsidRPr="00044375" w:rsidRDefault="00044375" w:rsidP="00044375">
      <w:pPr>
        <w:pStyle w:val="Heading2"/>
        <w:rPr>
          <w:sz w:val="24"/>
          <w:szCs w:val="24"/>
        </w:rPr>
      </w:pPr>
      <w:r>
        <w:rPr>
          <w:sz w:val="24"/>
          <w:szCs w:val="24"/>
        </w:rPr>
        <w:lastRenderedPageBreak/>
        <w:t>Family proceedings</w:t>
      </w:r>
    </w:p>
    <w:p w14:paraId="7A50A8B8" w14:textId="4D3481A6" w:rsidR="00C13DE2" w:rsidRPr="00DA166C" w:rsidRDefault="0720A321" w:rsidP="00C13DE2">
      <w:pPr>
        <w:pStyle w:val="ListParagraph"/>
        <w:numPr>
          <w:ilvl w:val="1"/>
          <w:numId w:val="6"/>
        </w:numPr>
        <w:tabs>
          <w:tab w:val="left" w:pos="957"/>
          <w:tab w:val="left" w:pos="958"/>
        </w:tabs>
        <w:spacing w:after="160" w:line="259" w:lineRule="auto"/>
        <w:ind w:right="336"/>
        <w:rPr>
          <w:sz w:val="24"/>
          <w:szCs w:val="24"/>
        </w:rPr>
      </w:pPr>
      <w:r w:rsidRPr="00DA166C">
        <w:rPr>
          <w:sz w:val="24"/>
          <w:szCs w:val="24"/>
        </w:rPr>
        <w:t>Applicants to the family court are asked to disclose if they have been party to family proceedings, excluding adoption applications. This is to allow Advisory Committees to consider potential conflicts of interest. Advisory Committees should provide the following information in respect of any such disclosures:</w:t>
      </w:r>
    </w:p>
    <w:p w14:paraId="0365A6BD" w14:textId="77777777" w:rsidR="00C13DE2" w:rsidRPr="00DA166C" w:rsidRDefault="00C13DE2" w:rsidP="00C13DE2">
      <w:pPr>
        <w:pStyle w:val="ListParagraph"/>
        <w:numPr>
          <w:ilvl w:val="2"/>
          <w:numId w:val="6"/>
        </w:numPr>
        <w:tabs>
          <w:tab w:val="left" w:pos="1721"/>
          <w:tab w:val="left" w:pos="1722"/>
        </w:tabs>
        <w:spacing w:after="160" w:line="259" w:lineRule="auto"/>
        <w:ind w:hanging="361"/>
        <w:rPr>
          <w:rFonts w:ascii="Symbol" w:hAnsi="Symbol"/>
          <w:sz w:val="24"/>
          <w:szCs w:val="24"/>
        </w:rPr>
      </w:pPr>
      <w:r w:rsidRPr="00DA166C">
        <w:rPr>
          <w:sz w:val="24"/>
          <w:szCs w:val="24"/>
        </w:rPr>
        <w:t>Date that proceedings took place;</w:t>
      </w:r>
    </w:p>
    <w:p w14:paraId="4A01BCD1" w14:textId="77777777" w:rsidR="00C13DE2" w:rsidRPr="00DA166C" w:rsidRDefault="00C13DE2" w:rsidP="00C13DE2">
      <w:pPr>
        <w:pStyle w:val="ListParagraph"/>
        <w:numPr>
          <w:ilvl w:val="2"/>
          <w:numId w:val="6"/>
        </w:numPr>
        <w:tabs>
          <w:tab w:val="left" w:pos="1721"/>
          <w:tab w:val="left" w:pos="1722"/>
        </w:tabs>
        <w:spacing w:after="160" w:line="259" w:lineRule="auto"/>
        <w:ind w:hanging="361"/>
        <w:rPr>
          <w:rFonts w:ascii="Symbol" w:hAnsi="Symbol"/>
          <w:sz w:val="24"/>
          <w:szCs w:val="24"/>
        </w:rPr>
      </w:pPr>
      <w:r w:rsidRPr="00DA166C">
        <w:rPr>
          <w:sz w:val="24"/>
          <w:szCs w:val="24"/>
        </w:rPr>
        <w:t>Detail of proceedings/orders they may be named in; and</w:t>
      </w:r>
    </w:p>
    <w:p w14:paraId="699B8298" w14:textId="040835B9" w:rsidR="00A464C0" w:rsidRPr="00DA166C" w:rsidRDefault="00C13DE2" w:rsidP="00C13DE2">
      <w:pPr>
        <w:pStyle w:val="ListParagraph"/>
        <w:numPr>
          <w:ilvl w:val="2"/>
          <w:numId w:val="6"/>
        </w:numPr>
        <w:tabs>
          <w:tab w:val="left" w:pos="1721"/>
          <w:tab w:val="left" w:pos="1722"/>
        </w:tabs>
        <w:spacing w:after="160" w:line="259" w:lineRule="auto"/>
        <w:ind w:hanging="361"/>
        <w:rPr>
          <w:rFonts w:ascii="Symbol" w:hAnsi="Symbol"/>
          <w:sz w:val="24"/>
          <w:szCs w:val="24"/>
        </w:rPr>
      </w:pPr>
      <w:r w:rsidRPr="00DA166C">
        <w:rPr>
          <w:sz w:val="24"/>
          <w:szCs w:val="24"/>
        </w:rPr>
        <w:t>Confirmation that the matter was explored at interview and rationale for decision to recommend for appointment.</w:t>
      </w:r>
    </w:p>
    <w:p w14:paraId="2D9248A3" w14:textId="401C1658" w:rsidR="00A464C0" w:rsidRPr="00DA166C" w:rsidRDefault="00D26256" w:rsidP="00D26256">
      <w:pPr>
        <w:pStyle w:val="Heading2"/>
        <w:rPr>
          <w:sz w:val="24"/>
          <w:szCs w:val="24"/>
        </w:rPr>
      </w:pPr>
      <w:r w:rsidRPr="00DA166C">
        <w:rPr>
          <w:sz w:val="24"/>
          <w:szCs w:val="24"/>
        </w:rPr>
        <w:t>Disclosure and Barring Service (DBS)</w:t>
      </w:r>
    </w:p>
    <w:p w14:paraId="797CCF69" w14:textId="725E999D" w:rsidR="00862745" w:rsidRPr="00DA166C" w:rsidRDefault="05148E5C"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Advisory Committees should only send submissions to Judicial HR when they have received DBS clearances for all candidates.</w:t>
      </w:r>
    </w:p>
    <w:p w14:paraId="6AD657C7" w14:textId="323813D9" w:rsidR="0093616E" w:rsidRPr="00DA166C" w:rsidRDefault="230F665C"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Recommendations for appointment cannot be considered by the Senior Presiding Judge until DBS clearance has been received</w:t>
      </w:r>
      <w:r w:rsidRPr="00DA166C">
        <w:rPr>
          <w:b/>
          <w:bCs/>
          <w:sz w:val="24"/>
          <w:szCs w:val="24"/>
        </w:rPr>
        <w:t>.</w:t>
      </w:r>
    </w:p>
    <w:p w14:paraId="561679E0" w14:textId="30C9F492" w:rsidR="0093616E" w:rsidRPr="00DA166C" w:rsidRDefault="230F665C"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 xml:space="preserve">Counter-signatories can track the progress of a DBS check via the online tracking tool which can be accessed at: </w:t>
      </w:r>
      <w:hyperlink r:id="rId10">
        <w:r w:rsidRPr="00DA166C">
          <w:rPr>
            <w:rStyle w:val="Hyperlink"/>
            <w:sz w:val="24"/>
            <w:szCs w:val="24"/>
          </w:rPr>
          <w:t>www.secure.crbonline.gov.uk/enquiry/enquirySearch.do</w:t>
        </w:r>
      </w:hyperlink>
    </w:p>
    <w:p w14:paraId="46841F83" w14:textId="61428BCF" w:rsidR="007E53E5" w:rsidRPr="00DA166C" w:rsidRDefault="2D9AB3EC" w:rsidP="007E53E5">
      <w:pPr>
        <w:pStyle w:val="ListParagraph"/>
        <w:numPr>
          <w:ilvl w:val="1"/>
          <w:numId w:val="6"/>
        </w:numPr>
        <w:tabs>
          <w:tab w:val="left" w:pos="957"/>
          <w:tab w:val="left" w:pos="958"/>
        </w:tabs>
        <w:spacing w:after="160" w:line="259" w:lineRule="auto"/>
        <w:ind w:right="279"/>
        <w:rPr>
          <w:sz w:val="24"/>
          <w:szCs w:val="24"/>
        </w:rPr>
      </w:pPr>
      <w:r w:rsidRPr="00DA166C">
        <w:rPr>
          <w:sz w:val="24"/>
          <w:szCs w:val="24"/>
        </w:rPr>
        <w:t xml:space="preserve">In cases of substantial delay with DBS checks, Advisory Committee Secretaries should submit those candidates for whom the DBS clearance has been received, and submit at a later date, the outstanding candidates. </w:t>
      </w:r>
    </w:p>
    <w:p w14:paraId="4EB84387" w14:textId="6473701F" w:rsidR="0093616E" w:rsidRPr="00DA166C" w:rsidRDefault="1231D42A"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 xml:space="preserve">Advisory Committees must advise Judicial Office HR on when they intend to submit the remaining recommendations for appointment to enable effective resource management within Judicial Office HR. </w:t>
      </w:r>
    </w:p>
    <w:p w14:paraId="00387502" w14:textId="6163E79D" w:rsidR="00862745" w:rsidRPr="00862745" w:rsidRDefault="00862745" w:rsidP="00862745">
      <w:pPr>
        <w:pStyle w:val="Heading2"/>
        <w:rPr>
          <w:sz w:val="28"/>
          <w:szCs w:val="28"/>
        </w:rPr>
      </w:pPr>
      <w:r>
        <w:rPr>
          <w:sz w:val="28"/>
          <w:szCs w:val="28"/>
        </w:rPr>
        <w:t>Judicial Office HR procedures</w:t>
      </w:r>
    </w:p>
    <w:p w14:paraId="68EDCBE6" w14:textId="31C8225B" w:rsidR="00862745" w:rsidRPr="00160B30" w:rsidRDefault="2D9AB3EC" w:rsidP="00060F46">
      <w:pPr>
        <w:pStyle w:val="ListParagraph"/>
        <w:numPr>
          <w:ilvl w:val="1"/>
          <w:numId w:val="6"/>
        </w:numPr>
        <w:tabs>
          <w:tab w:val="left" w:pos="957"/>
          <w:tab w:val="left" w:pos="958"/>
        </w:tabs>
        <w:spacing w:before="61" w:after="160" w:line="259" w:lineRule="auto"/>
        <w:ind w:right="351"/>
        <w:rPr>
          <w:sz w:val="24"/>
          <w:szCs w:val="24"/>
        </w:rPr>
      </w:pPr>
      <w:r w:rsidRPr="00160B30">
        <w:rPr>
          <w:sz w:val="24"/>
          <w:szCs w:val="24"/>
        </w:rPr>
        <w:t>Once submissions are received by Judicial Office HR, a member of the team will acknowledge receipt.</w:t>
      </w:r>
    </w:p>
    <w:p w14:paraId="502C178E" w14:textId="77B6B31A" w:rsidR="00CC21F1" w:rsidRPr="00DA166C" w:rsidRDefault="69B9FF4E"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 xml:space="preserve">Judicial Office HR aims to process the submission, gain the approval of the Senior Presiding Judge, and inform the Advisory Committee of approved new appointments within </w:t>
      </w:r>
      <w:r w:rsidRPr="00DA166C">
        <w:rPr>
          <w:b/>
          <w:bCs/>
          <w:sz w:val="24"/>
          <w:szCs w:val="24"/>
        </w:rPr>
        <w:t xml:space="preserve">30 working days </w:t>
      </w:r>
      <w:r w:rsidRPr="00DA166C">
        <w:rPr>
          <w:sz w:val="24"/>
          <w:szCs w:val="24"/>
        </w:rPr>
        <w:t>of the date on which a submission is received. This is dependent on all documentation being present and correct, provision of sufficient information on any concerns or potential conflicts, and the Senior Presiding Judge’s availability.</w:t>
      </w:r>
    </w:p>
    <w:p w14:paraId="27B74F69" w14:textId="606A67D8" w:rsidR="002C3363" w:rsidRPr="00DA166C" w:rsidRDefault="69B9FF4E"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Judicial Office HR will keep Advisory Committees informed about progress on submissions and Committees are welcome to contact the team for an update.</w:t>
      </w:r>
    </w:p>
    <w:p w14:paraId="7799BBA3" w14:textId="6F1E6087" w:rsidR="00BF69B5" w:rsidRPr="00177932" w:rsidRDefault="00177932" w:rsidP="00177932">
      <w:pPr>
        <w:pStyle w:val="Heading2"/>
        <w:rPr>
          <w:sz w:val="24"/>
          <w:szCs w:val="24"/>
        </w:rPr>
      </w:pPr>
      <w:r>
        <w:rPr>
          <w:sz w:val="24"/>
          <w:szCs w:val="24"/>
        </w:rPr>
        <w:t>Consideration of recommendations</w:t>
      </w:r>
    </w:p>
    <w:p w14:paraId="36B70430" w14:textId="5727F74B" w:rsidR="00BF69B5" w:rsidRPr="00DA166C" w:rsidRDefault="0E2B65FF"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The final decision on whether to appoint a candidate rests solely with the Senior Presiding Judge.</w:t>
      </w:r>
    </w:p>
    <w:p w14:paraId="3346E8CA" w14:textId="2D631067" w:rsidR="00177932" w:rsidRPr="00DA166C" w:rsidRDefault="0E2B65FF"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 xml:space="preserve">If the Senior Presiding Judge does not accept a recommended candidate, Judicial Office HR will provide the Advisory Committee Secretary with a letter </w:t>
      </w:r>
      <w:r w:rsidRPr="00DA166C">
        <w:rPr>
          <w:sz w:val="24"/>
          <w:szCs w:val="24"/>
        </w:rPr>
        <w:lastRenderedPageBreak/>
        <w:t>explaining the Senior Presiding Judge’s reason(s) for not appointing the candidate. The Secretary may then share that letter with the candidate who has been rejected.</w:t>
      </w:r>
    </w:p>
    <w:p w14:paraId="39A87DC6" w14:textId="010402C3" w:rsidR="00BF69B5" w:rsidRPr="00177932" w:rsidRDefault="00177932" w:rsidP="00177932">
      <w:pPr>
        <w:pStyle w:val="Heading2"/>
        <w:rPr>
          <w:sz w:val="24"/>
          <w:szCs w:val="24"/>
        </w:rPr>
      </w:pPr>
      <w:r>
        <w:rPr>
          <w:sz w:val="24"/>
          <w:szCs w:val="24"/>
        </w:rPr>
        <w:t>Procedure after candidates have been appointed</w:t>
      </w:r>
    </w:p>
    <w:p w14:paraId="421C39A1" w14:textId="0851FE37" w:rsidR="00BF69B5" w:rsidRPr="00DA166C" w:rsidRDefault="53099FED"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Where the Senior Presiding Judge has approved the appointment of recommended candidates, they will be appointed to the Commission of the Peace for England and Wales and assigned to a Local Justice Area.</w:t>
      </w:r>
    </w:p>
    <w:p w14:paraId="17D89F1D" w14:textId="4C92356F" w:rsidR="00BF69B5" w:rsidRPr="00DA166C" w:rsidRDefault="53099FED"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Judicial Office HR will send candidates a letter (copied to the Advisory Committee Secretary) and certificate of appointment.</w:t>
      </w:r>
    </w:p>
    <w:p w14:paraId="69AD42F6" w14:textId="6F714DB0" w:rsidR="002C3363" w:rsidRPr="00DA166C" w:rsidRDefault="53099FED"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Judicial Office HR will advise Advisory Committee Secretaries of any measures required to be put in place for candidates to protect against perception, or real risk of, conflict of interest or compromised judicial independence.</w:t>
      </w:r>
    </w:p>
    <w:p w14:paraId="4A442A9E" w14:textId="77777777" w:rsidR="00CC21F1" w:rsidRPr="00347358" w:rsidRDefault="00CC21F1" w:rsidP="00CC21F1">
      <w:pPr>
        <w:pStyle w:val="Heading1"/>
        <w:spacing w:after="160" w:line="259" w:lineRule="auto"/>
      </w:pPr>
      <w:r w:rsidRPr="00347358">
        <w:t>Swearing-in of newly appointed magistrates</w:t>
      </w:r>
    </w:p>
    <w:p w14:paraId="7738A38E" w14:textId="66D05703" w:rsidR="00CC21F1" w:rsidRPr="00DA166C" w:rsidRDefault="53099FED" w:rsidP="00060F46">
      <w:pPr>
        <w:pStyle w:val="ListParagraph"/>
        <w:numPr>
          <w:ilvl w:val="1"/>
          <w:numId w:val="6"/>
        </w:numPr>
        <w:tabs>
          <w:tab w:val="left" w:pos="957"/>
          <w:tab w:val="left" w:pos="958"/>
        </w:tabs>
        <w:spacing w:before="61" w:after="160" w:line="259" w:lineRule="auto"/>
        <w:ind w:right="351"/>
        <w:rPr>
          <w:sz w:val="24"/>
          <w:szCs w:val="24"/>
        </w:rPr>
      </w:pPr>
      <w:r w:rsidRPr="00DA166C">
        <w:rPr>
          <w:sz w:val="24"/>
          <w:szCs w:val="24"/>
        </w:rPr>
        <w:t>Advisory Committee Secretariats must arrange for newly appointed magistrates to be sworn</w:t>
      </w:r>
      <w:r w:rsidR="3B81A949" w:rsidRPr="00DA166C">
        <w:rPr>
          <w:sz w:val="24"/>
          <w:szCs w:val="24"/>
        </w:rPr>
        <w:t xml:space="preserve"> </w:t>
      </w:r>
      <w:r w:rsidRPr="00DA166C">
        <w:rPr>
          <w:sz w:val="24"/>
          <w:szCs w:val="24"/>
        </w:rPr>
        <w:t>in.</w:t>
      </w:r>
    </w:p>
    <w:p w14:paraId="014B0811" w14:textId="2D66664B" w:rsidR="00192C25" w:rsidRPr="00DA166C" w:rsidRDefault="764E5104" w:rsidP="00192C25">
      <w:pPr>
        <w:pStyle w:val="ListParagraph"/>
        <w:numPr>
          <w:ilvl w:val="1"/>
          <w:numId w:val="6"/>
        </w:numPr>
        <w:tabs>
          <w:tab w:val="left" w:pos="957"/>
          <w:tab w:val="left" w:pos="958"/>
        </w:tabs>
        <w:spacing w:before="1" w:after="160" w:line="259" w:lineRule="auto"/>
        <w:ind w:right="704"/>
        <w:rPr>
          <w:sz w:val="24"/>
          <w:szCs w:val="24"/>
        </w:rPr>
      </w:pPr>
      <w:r w:rsidRPr="00DA166C">
        <w:rPr>
          <w:sz w:val="24"/>
          <w:szCs w:val="24"/>
        </w:rPr>
        <w:t xml:space="preserve">Advisory Committees are strongly advised to wait until they have received notification from Judicial HR that the recommendations have been approved by the Senior Presiding Judge before setting the swearing-in date. </w:t>
      </w:r>
    </w:p>
    <w:p w14:paraId="758E9310" w14:textId="3A3A8836" w:rsidR="00DC0C1C" w:rsidRPr="00347358" w:rsidRDefault="00DC0C1C" w:rsidP="00F850BF">
      <w:pPr>
        <w:pStyle w:val="ListParagraph"/>
        <w:tabs>
          <w:tab w:val="left" w:pos="957"/>
          <w:tab w:val="left" w:pos="958"/>
        </w:tabs>
        <w:spacing w:before="61" w:after="160" w:line="259" w:lineRule="auto"/>
        <w:ind w:right="351" w:firstLine="0"/>
      </w:pPr>
    </w:p>
    <w:sectPr w:rsidR="00DC0C1C" w:rsidRPr="00347358" w:rsidSect="00670CB4">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804CA"/>
    <w:multiLevelType w:val="hybridMultilevel"/>
    <w:tmpl w:val="CAE8D3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B8833BC"/>
    <w:multiLevelType w:val="hybridMultilevel"/>
    <w:tmpl w:val="498270A0"/>
    <w:lvl w:ilvl="0" w:tplc="317E08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27BAC"/>
    <w:multiLevelType w:val="multilevel"/>
    <w:tmpl w:val="831C47C8"/>
    <w:lvl w:ilvl="0">
      <w:start w:val="4"/>
      <w:numFmt w:val="decimal"/>
      <w:lvlText w:val="%1"/>
      <w:lvlJc w:val="left"/>
      <w:pPr>
        <w:ind w:left="958" w:hanging="737"/>
        <w:jc w:val="left"/>
      </w:pPr>
      <w:rPr>
        <w:rFonts w:hint="default"/>
        <w:lang w:val="en-US" w:eastAsia="en-US" w:bidi="ar-SA"/>
      </w:rPr>
    </w:lvl>
    <w:lvl w:ilvl="1">
      <w:start w:val="1"/>
      <w:numFmt w:val="decimal"/>
      <w:lvlText w:val="%1.%2."/>
      <w:lvlJc w:val="left"/>
      <w:pPr>
        <w:ind w:left="958" w:hanging="737"/>
        <w:jc w:val="left"/>
      </w:pPr>
      <w:rPr>
        <w:rFonts w:ascii="Arial" w:eastAsia="Arial" w:hAnsi="Arial" w:cs="Arial" w:hint="default"/>
        <w:spacing w:val="-1"/>
        <w:w w:val="100"/>
        <w:sz w:val="22"/>
        <w:szCs w:val="22"/>
        <w:lang w:val="en-US" w:eastAsia="en-US" w:bidi="ar-SA"/>
      </w:rPr>
    </w:lvl>
    <w:lvl w:ilvl="2">
      <w:numFmt w:val="bullet"/>
      <w:lvlText w:val=""/>
      <w:lvlJc w:val="left"/>
      <w:pPr>
        <w:ind w:left="1721" w:hanging="360"/>
      </w:pPr>
      <w:rPr>
        <w:rFonts w:hint="default"/>
        <w:w w:val="100"/>
        <w:lang w:val="en-US" w:eastAsia="en-US" w:bidi="ar-SA"/>
      </w:rPr>
    </w:lvl>
    <w:lvl w:ilvl="3">
      <w:numFmt w:val="bullet"/>
      <w:lvlText w:val="•"/>
      <w:lvlJc w:val="left"/>
      <w:pPr>
        <w:ind w:left="2573" w:hanging="360"/>
      </w:pPr>
      <w:rPr>
        <w:rFonts w:hint="default"/>
        <w:lang w:val="en-US" w:eastAsia="en-US" w:bidi="ar-SA"/>
      </w:rPr>
    </w:lvl>
    <w:lvl w:ilvl="4">
      <w:numFmt w:val="bullet"/>
      <w:lvlText w:val="•"/>
      <w:lvlJc w:val="left"/>
      <w:pPr>
        <w:ind w:left="3426" w:hanging="360"/>
      </w:pPr>
      <w:rPr>
        <w:rFonts w:hint="default"/>
        <w:lang w:val="en-US" w:eastAsia="en-US" w:bidi="ar-SA"/>
      </w:rPr>
    </w:lvl>
    <w:lvl w:ilvl="5">
      <w:numFmt w:val="bullet"/>
      <w:lvlText w:val="•"/>
      <w:lvlJc w:val="left"/>
      <w:pPr>
        <w:ind w:left="4279" w:hanging="360"/>
      </w:pPr>
      <w:rPr>
        <w:rFonts w:hint="default"/>
        <w:lang w:val="en-US" w:eastAsia="en-US" w:bidi="ar-SA"/>
      </w:rPr>
    </w:lvl>
    <w:lvl w:ilvl="6">
      <w:numFmt w:val="bullet"/>
      <w:lvlText w:val="•"/>
      <w:lvlJc w:val="left"/>
      <w:pPr>
        <w:ind w:left="5133" w:hanging="360"/>
      </w:pPr>
      <w:rPr>
        <w:rFonts w:hint="default"/>
        <w:lang w:val="en-US" w:eastAsia="en-US" w:bidi="ar-SA"/>
      </w:rPr>
    </w:lvl>
    <w:lvl w:ilvl="7">
      <w:numFmt w:val="bullet"/>
      <w:lvlText w:val="•"/>
      <w:lvlJc w:val="left"/>
      <w:pPr>
        <w:ind w:left="5986" w:hanging="360"/>
      </w:pPr>
      <w:rPr>
        <w:rFonts w:hint="default"/>
        <w:lang w:val="en-US" w:eastAsia="en-US" w:bidi="ar-SA"/>
      </w:rPr>
    </w:lvl>
    <w:lvl w:ilvl="8">
      <w:numFmt w:val="bullet"/>
      <w:lvlText w:val="•"/>
      <w:lvlJc w:val="left"/>
      <w:pPr>
        <w:ind w:left="6839" w:hanging="360"/>
      </w:pPr>
      <w:rPr>
        <w:rFonts w:hint="default"/>
        <w:lang w:val="en-US" w:eastAsia="en-US" w:bidi="ar-SA"/>
      </w:rPr>
    </w:lvl>
  </w:abstractNum>
  <w:abstractNum w:abstractNumId="3" w15:restartNumberingAfterBreak="0">
    <w:nsid w:val="3BC95B8D"/>
    <w:multiLevelType w:val="multilevel"/>
    <w:tmpl w:val="47003D88"/>
    <w:lvl w:ilvl="0">
      <w:start w:val="4"/>
      <w:numFmt w:val="decimal"/>
      <w:lvlText w:val="%1"/>
      <w:lvlJc w:val="left"/>
      <w:pPr>
        <w:ind w:left="958" w:hanging="737"/>
        <w:jc w:val="left"/>
      </w:pPr>
      <w:rPr>
        <w:rFonts w:hint="default"/>
        <w:lang w:val="en-US" w:eastAsia="en-US" w:bidi="ar-SA"/>
      </w:rPr>
    </w:lvl>
    <w:lvl w:ilvl="1">
      <w:start w:val="21"/>
      <w:numFmt w:val="decimal"/>
      <w:lvlText w:val="%1.%2."/>
      <w:lvlJc w:val="left"/>
      <w:pPr>
        <w:ind w:left="958" w:hanging="737"/>
        <w:jc w:val="left"/>
      </w:pPr>
      <w:rPr>
        <w:rFonts w:ascii="Arial" w:eastAsia="Arial" w:hAnsi="Arial" w:cs="Arial" w:hint="default"/>
        <w:spacing w:val="-1"/>
        <w:w w:val="100"/>
        <w:sz w:val="22"/>
        <w:szCs w:val="22"/>
        <w:lang w:val="en-US" w:eastAsia="en-US" w:bidi="ar-SA"/>
      </w:rPr>
    </w:lvl>
    <w:lvl w:ilvl="2">
      <w:numFmt w:val="bullet"/>
      <w:lvlText w:val="•"/>
      <w:lvlJc w:val="left"/>
      <w:pPr>
        <w:ind w:left="2477" w:hanging="737"/>
      </w:pPr>
      <w:rPr>
        <w:rFonts w:hint="default"/>
        <w:lang w:val="en-US" w:eastAsia="en-US" w:bidi="ar-SA"/>
      </w:rPr>
    </w:lvl>
    <w:lvl w:ilvl="3">
      <w:numFmt w:val="bullet"/>
      <w:lvlText w:val="•"/>
      <w:lvlJc w:val="left"/>
      <w:pPr>
        <w:ind w:left="3235" w:hanging="737"/>
      </w:pPr>
      <w:rPr>
        <w:rFonts w:hint="default"/>
        <w:lang w:val="en-US" w:eastAsia="en-US" w:bidi="ar-SA"/>
      </w:rPr>
    </w:lvl>
    <w:lvl w:ilvl="4">
      <w:numFmt w:val="bullet"/>
      <w:lvlText w:val="•"/>
      <w:lvlJc w:val="left"/>
      <w:pPr>
        <w:ind w:left="3994" w:hanging="737"/>
      </w:pPr>
      <w:rPr>
        <w:rFonts w:hint="default"/>
        <w:lang w:val="en-US" w:eastAsia="en-US" w:bidi="ar-SA"/>
      </w:rPr>
    </w:lvl>
    <w:lvl w:ilvl="5">
      <w:numFmt w:val="bullet"/>
      <w:lvlText w:val="•"/>
      <w:lvlJc w:val="left"/>
      <w:pPr>
        <w:ind w:left="4753" w:hanging="737"/>
      </w:pPr>
      <w:rPr>
        <w:rFonts w:hint="default"/>
        <w:lang w:val="en-US" w:eastAsia="en-US" w:bidi="ar-SA"/>
      </w:rPr>
    </w:lvl>
    <w:lvl w:ilvl="6">
      <w:numFmt w:val="bullet"/>
      <w:lvlText w:val="•"/>
      <w:lvlJc w:val="left"/>
      <w:pPr>
        <w:ind w:left="5511" w:hanging="737"/>
      </w:pPr>
      <w:rPr>
        <w:rFonts w:hint="default"/>
        <w:lang w:val="en-US" w:eastAsia="en-US" w:bidi="ar-SA"/>
      </w:rPr>
    </w:lvl>
    <w:lvl w:ilvl="7">
      <w:numFmt w:val="bullet"/>
      <w:lvlText w:val="•"/>
      <w:lvlJc w:val="left"/>
      <w:pPr>
        <w:ind w:left="6270" w:hanging="737"/>
      </w:pPr>
      <w:rPr>
        <w:rFonts w:hint="default"/>
        <w:lang w:val="en-US" w:eastAsia="en-US" w:bidi="ar-SA"/>
      </w:rPr>
    </w:lvl>
    <w:lvl w:ilvl="8">
      <w:numFmt w:val="bullet"/>
      <w:lvlText w:val="•"/>
      <w:lvlJc w:val="left"/>
      <w:pPr>
        <w:ind w:left="7029" w:hanging="737"/>
      </w:pPr>
      <w:rPr>
        <w:rFonts w:hint="default"/>
        <w:lang w:val="en-US" w:eastAsia="en-US" w:bidi="ar-SA"/>
      </w:rPr>
    </w:lvl>
  </w:abstractNum>
  <w:abstractNum w:abstractNumId="4" w15:restartNumberingAfterBreak="0">
    <w:nsid w:val="50D656D1"/>
    <w:multiLevelType w:val="hybridMultilevel"/>
    <w:tmpl w:val="CFA45FFE"/>
    <w:lvl w:ilvl="0" w:tplc="0E78910A">
      <w:numFmt w:val="bullet"/>
      <w:lvlText w:val=""/>
      <w:lvlJc w:val="left"/>
      <w:pPr>
        <w:ind w:left="465" w:hanging="358"/>
      </w:pPr>
      <w:rPr>
        <w:rFonts w:ascii="Symbol" w:eastAsia="Symbol" w:hAnsi="Symbol" w:cs="Symbol" w:hint="default"/>
        <w:w w:val="100"/>
        <w:sz w:val="22"/>
        <w:szCs w:val="22"/>
        <w:lang w:val="en-US" w:eastAsia="en-US" w:bidi="ar-SA"/>
      </w:rPr>
    </w:lvl>
    <w:lvl w:ilvl="1" w:tplc="937801FC">
      <w:numFmt w:val="bullet"/>
      <w:lvlText w:val="•"/>
      <w:lvlJc w:val="left"/>
      <w:pPr>
        <w:ind w:left="888" w:hanging="358"/>
      </w:pPr>
      <w:rPr>
        <w:rFonts w:hint="default"/>
        <w:lang w:val="en-US" w:eastAsia="en-US" w:bidi="ar-SA"/>
      </w:rPr>
    </w:lvl>
    <w:lvl w:ilvl="2" w:tplc="857C47E6">
      <w:numFmt w:val="bullet"/>
      <w:lvlText w:val="•"/>
      <w:lvlJc w:val="left"/>
      <w:pPr>
        <w:ind w:left="1316" w:hanging="358"/>
      </w:pPr>
      <w:rPr>
        <w:rFonts w:hint="default"/>
        <w:lang w:val="en-US" w:eastAsia="en-US" w:bidi="ar-SA"/>
      </w:rPr>
    </w:lvl>
    <w:lvl w:ilvl="3" w:tplc="D1C621D0">
      <w:numFmt w:val="bullet"/>
      <w:lvlText w:val="•"/>
      <w:lvlJc w:val="left"/>
      <w:pPr>
        <w:ind w:left="1744" w:hanging="358"/>
      </w:pPr>
      <w:rPr>
        <w:rFonts w:hint="default"/>
        <w:lang w:val="en-US" w:eastAsia="en-US" w:bidi="ar-SA"/>
      </w:rPr>
    </w:lvl>
    <w:lvl w:ilvl="4" w:tplc="9DBA524A">
      <w:numFmt w:val="bullet"/>
      <w:lvlText w:val="•"/>
      <w:lvlJc w:val="left"/>
      <w:pPr>
        <w:ind w:left="2172" w:hanging="358"/>
      </w:pPr>
      <w:rPr>
        <w:rFonts w:hint="default"/>
        <w:lang w:val="en-US" w:eastAsia="en-US" w:bidi="ar-SA"/>
      </w:rPr>
    </w:lvl>
    <w:lvl w:ilvl="5" w:tplc="3AD8F596">
      <w:numFmt w:val="bullet"/>
      <w:lvlText w:val="•"/>
      <w:lvlJc w:val="left"/>
      <w:pPr>
        <w:ind w:left="2600" w:hanging="358"/>
      </w:pPr>
      <w:rPr>
        <w:rFonts w:hint="default"/>
        <w:lang w:val="en-US" w:eastAsia="en-US" w:bidi="ar-SA"/>
      </w:rPr>
    </w:lvl>
    <w:lvl w:ilvl="6" w:tplc="25F47D10">
      <w:numFmt w:val="bullet"/>
      <w:lvlText w:val="•"/>
      <w:lvlJc w:val="left"/>
      <w:pPr>
        <w:ind w:left="3028" w:hanging="358"/>
      </w:pPr>
      <w:rPr>
        <w:rFonts w:hint="default"/>
        <w:lang w:val="en-US" w:eastAsia="en-US" w:bidi="ar-SA"/>
      </w:rPr>
    </w:lvl>
    <w:lvl w:ilvl="7" w:tplc="448C18BC">
      <w:numFmt w:val="bullet"/>
      <w:lvlText w:val="•"/>
      <w:lvlJc w:val="left"/>
      <w:pPr>
        <w:ind w:left="3456" w:hanging="358"/>
      </w:pPr>
      <w:rPr>
        <w:rFonts w:hint="default"/>
        <w:lang w:val="en-US" w:eastAsia="en-US" w:bidi="ar-SA"/>
      </w:rPr>
    </w:lvl>
    <w:lvl w:ilvl="8" w:tplc="6E1ED5D8">
      <w:numFmt w:val="bullet"/>
      <w:lvlText w:val="•"/>
      <w:lvlJc w:val="left"/>
      <w:pPr>
        <w:ind w:left="3884" w:hanging="358"/>
      </w:pPr>
      <w:rPr>
        <w:rFonts w:hint="default"/>
        <w:lang w:val="en-US" w:eastAsia="en-US" w:bidi="ar-SA"/>
      </w:rPr>
    </w:lvl>
  </w:abstractNum>
  <w:abstractNum w:abstractNumId="5" w15:restartNumberingAfterBreak="0">
    <w:nsid w:val="5A37296E"/>
    <w:multiLevelType w:val="hybridMultilevel"/>
    <w:tmpl w:val="17742024"/>
    <w:lvl w:ilvl="0" w:tplc="5BAE8EE6">
      <w:numFmt w:val="bullet"/>
      <w:lvlText w:val=""/>
      <w:lvlJc w:val="left"/>
      <w:pPr>
        <w:ind w:left="465" w:hanging="358"/>
      </w:pPr>
      <w:rPr>
        <w:rFonts w:ascii="Symbol" w:eastAsia="Symbol" w:hAnsi="Symbol" w:cs="Symbol" w:hint="default"/>
        <w:w w:val="100"/>
        <w:sz w:val="22"/>
        <w:szCs w:val="22"/>
        <w:lang w:val="en-US" w:eastAsia="en-US" w:bidi="ar-SA"/>
      </w:rPr>
    </w:lvl>
    <w:lvl w:ilvl="1" w:tplc="B64AD4D4">
      <w:numFmt w:val="bullet"/>
      <w:lvlText w:val="•"/>
      <w:lvlJc w:val="left"/>
      <w:pPr>
        <w:ind w:left="888" w:hanging="358"/>
      </w:pPr>
      <w:rPr>
        <w:rFonts w:hint="default"/>
        <w:lang w:val="en-US" w:eastAsia="en-US" w:bidi="ar-SA"/>
      </w:rPr>
    </w:lvl>
    <w:lvl w:ilvl="2" w:tplc="81BA1A32">
      <w:numFmt w:val="bullet"/>
      <w:lvlText w:val="•"/>
      <w:lvlJc w:val="left"/>
      <w:pPr>
        <w:ind w:left="1316" w:hanging="358"/>
      </w:pPr>
      <w:rPr>
        <w:rFonts w:hint="default"/>
        <w:lang w:val="en-US" w:eastAsia="en-US" w:bidi="ar-SA"/>
      </w:rPr>
    </w:lvl>
    <w:lvl w:ilvl="3" w:tplc="3C0E4FEA">
      <w:numFmt w:val="bullet"/>
      <w:lvlText w:val="•"/>
      <w:lvlJc w:val="left"/>
      <w:pPr>
        <w:ind w:left="1744" w:hanging="358"/>
      </w:pPr>
      <w:rPr>
        <w:rFonts w:hint="default"/>
        <w:lang w:val="en-US" w:eastAsia="en-US" w:bidi="ar-SA"/>
      </w:rPr>
    </w:lvl>
    <w:lvl w:ilvl="4" w:tplc="50789274">
      <w:numFmt w:val="bullet"/>
      <w:lvlText w:val="•"/>
      <w:lvlJc w:val="left"/>
      <w:pPr>
        <w:ind w:left="2172" w:hanging="358"/>
      </w:pPr>
      <w:rPr>
        <w:rFonts w:hint="default"/>
        <w:lang w:val="en-US" w:eastAsia="en-US" w:bidi="ar-SA"/>
      </w:rPr>
    </w:lvl>
    <w:lvl w:ilvl="5" w:tplc="E6D055D2">
      <w:numFmt w:val="bullet"/>
      <w:lvlText w:val="•"/>
      <w:lvlJc w:val="left"/>
      <w:pPr>
        <w:ind w:left="2600" w:hanging="358"/>
      </w:pPr>
      <w:rPr>
        <w:rFonts w:hint="default"/>
        <w:lang w:val="en-US" w:eastAsia="en-US" w:bidi="ar-SA"/>
      </w:rPr>
    </w:lvl>
    <w:lvl w:ilvl="6" w:tplc="EF948080">
      <w:numFmt w:val="bullet"/>
      <w:lvlText w:val="•"/>
      <w:lvlJc w:val="left"/>
      <w:pPr>
        <w:ind w:left="3028" w:hanging="358"/>
      </w:pPr>
      <w:rPr>
        <w:rFonts w:hint="default"/>
        <w:lang w:val="en-US" w:eastAsia="en-US" w:bidi="ar-SA"/>
      </w:rPr>
    </w:lvl>
    <w:lvl w:ilvl="7" w:tplc="317A7206">
      <w:numFmt w:val="bullet"/>
      <w:lvlText w:val="•"/>
      <w:lvlJc w:val="left"/>
      <w:pPr>
        <w:ind w:left="3456" w:hanging="358"/>
      </w:pPr>
      <w:rPr>
        <w:rFonts w:hint="default"/>
        <w:lang w:val="en-US" w:eastAsia="en-US" w:bidi="ar-SA"/>
      </w:rPr>
    </w:lvl>
    <w:lvl w:ilvl="8" w:tplc="CF3256DC">
      <w:numFmt w:val="bullet"/>
      <w:lvlText w:val="•"/>
      <w:lvlJc w:val="left"/>
      <w:pPr>
        <w:ind w:left="3884" w:hanging="358"/>
      </w:pPr>
      <w:rPr>
        <w:rFonts w:hint="default"/>
        <w:lang w:val="en-US" w:eastAsia="en-US" w:bidi="ar-SA"/>
      </w:rPr>
    </w:lvl>
  </w:abstractNum>
  <w:abstractNum w:abstractNumId="6" w15:restartNumberingAfterBreak="0">
    <w:nsid w:val="61AB1AF2"/>
    <w:multiLevelType w:val="hybridMultilevel"/>
    <w:tmpl w:val="E13097F4"/>
    <w:lvl w:ilvl="0" w:tplc="E56E6FEE">
      <w:numFmt w:val="bullet"/>
      <w:lvlText w:val=""/>
      <w:lvlJc w:val="left"/>
      <w:pPr>
        <w:ind w:left="465" w:hanging="358"/>
      </w:pPr>
      <w:rPr>
        <w:rFonts w:ascii="Symbol" w:eastAsia="Symbol" w:hAnsi="Symbol" w:cs="Symbol" w:hint="default"/>
        <w:w w:val="100"/>
        <w:sz w:val="22"/>
        <w:szCs w:val="22"/>
        <w:lang w:val="en-US" w:eastAsia="en-US" w:bidi="ar-SA"/>
      </w:rPr>
    </w:lvl>
    <w:lvl w:ilvl="1" w:tplc="A0882044">
      <w:numFmt w:val="bullet"/>
      <w:lvlText w:val="•"/>
      <w:lvlJc w:val="left"/>
      <w:pPr>
        <w:ind w:left="888" w:hanging="358"/>
      </w:pPr>
      <w:rPr>
        <w:rFonts w:hint="default"/>
        <w:lang w:val="en-US" w:eastAsia="en-US" w:bidi="ar-SA"/>
      </w:rPr>
    </w:lvl>
    <w:lvl w:ilvl="2" w:tplc="32CE8234">
      <w:numFmt w:val="bullet"/>
      <w:lvlText w:val="•"/>
      <w:lvlJc w:val="left"/>
      <w:pPr>
        <w:ind w:left="1316" w:hanging="358"/>
      </w:pPr>
      <w:rPr>
        <w:rFonts w:hint="default"/>
        <w:lang w:val="en-US" w:eastAsia="en-US" w:bidi="ar-SA"/>
      </w:rPr>
    </w:lvl>
    <w:lvl w:ilvl="3" w:tplc="64BAA19E">
      <w:numFmt w:val="bullet"/>
      <w:lvlText w:val="•"/>
      <w:lvlJc w:val="left"/>
      <w:pPr>
        <w:ind w:left="1744" w:hanging="358"/>
      </w:pPr>
      <w:rPr>
        <w:rFonts w:hint="default"/>
        <w:lang w:val="en-US" w:eastAsia="en-US" w:bidi="ar-SA"/>
      </w:rPr>
    </w:lvl>
    <w:lvl w:ilvl="4" w:tplc="B3E87526">
      <w:numFmt w:val="bullet"/>
      <w:lvlText w:val="•"/>
      <w:lvlJc w:val="left"/>
      <w:pPr>
        <w:ind w:left="2172" w:hanging="358"/>
      </w:pPr>
      <w:rPr>
        <w:rFonts w:hint="default"/>
        <w:lang w:val="en-US" w:eastAsia="en-US" w:bidi="ar-SA"/>
      </w:rPr>
    </w:lvl>
    <w:lvl w:ilvl="5" w:tplc="B81EF8F4">
      <w:numFmt w:val="bullet"/>
      <w:lvlText w:val="•"/>
      <w:lvlJc w:val="left"/>
      <w:pPr>
        <w:ind w:left="2600" w:hanging="358"/>
      </w:pPr>
      <w:rPr>
        <w:rFonts w:hint="default"/>
        <w:lang w:val="en-US" w:eastAsia="en-US" w:bidi="ar-SA"/>
      </w:rPr>
    </w:lvl>
    <w:lvl w:ilvl="6" w:tplc="6A327372">
      <w:numFmt w:val="bullet"/>
      <w:lvlText w:val="•"/>
      <w:lvlJc w:val="left"/>
      <w:pPr>
        <w:ind w:left="3028" w:hanging="358"/>
      </w:pPr>
      <w:rPr>
        <w:rFonts w:hint="default"/>
        <w:lang w:val="en-US" w:eastAsia="en-US" w:bidi="ar-SA"/>
      </w:rPr>
    </w:lvl>
    <w:lvl w:ilvl="7" w:tplc="369C4A60">
      <w:numFmt w:val="bullet"/>
      <w:lvlText w:val="•"/>
      <w:lvlJc w:val="left"/>
      <w:pPr>
        <w:ind w:left="3456" w:hanging="358"/>
      </w:pPr>
      <w:rPr>
        <w:rFonts w:hint="default"/>
        <w:lang w:val="en-US" w:eastAsia="en-US" w:bidi="ar-SA"/>
      </w:rPr>
    </w:lvl>
    <w:lvl w:ilvl="8" w:tplc="99EEC54C">
      <w:numFmt w:val="bullet"/>
      <w:lvlText w:val="•"/>
      <w:lvlJc w:val="left"/>
      <w:pPr>
        <w:ind w:left="3884" w:hanging="358"/>
      </w:pPr>
      <w:rPr>
        <w:rFonts w:hint="default"/>
        <w:lang w:val="en-US" w:eastAsia="en-US" w:bidi="ar-SA"/>
      </w:rPr>
    </w:lvl>
  </w:abstractNum>
  <w:abstractNum w:abstractNumId="7" w15:restartNumberingAfterBreak="0">
    <w:nsid w:val="65AC314D"/>
    <w:multiLevelType w:val="hybridMultilevel"/>
    <w:tmpl w:val="3604AD34"/>
    <w:lvl w:ilvl="0" w:tplc="5994F6EA">
      <w:numFmt w:val="bullet"/>
      <w:lvlText w:val=""/>
      <w:lvlJc w:val="left"/>
      <w:pPr>
        <w:ind w:left="465" w:hanging="358"/>
      </w:pPr>
      <w:rPr>
        <w:rFonts w:ascii="Symbol" w:eastAsia="Symbol" w:hAnsi="Symbol" w:cs="Symbol" w:hint="default"/>
        <w:w w:val="100"/>
        <w:sz w:val="22"/>
        <w:szCs w:val="22"/>
        <w:lang w:val="en-US" w:eastAsia="en-US" w:bidi="ar-SA"/>
      </w:rPr>
    </w:lvl>
    <w:lvl w:ilvl="1" w:tplc="0DA27B82">
      <w:numFmt w:val="bullet"/>
      <w:lvlText w:val="•"/>
      <w:lvlJc w:val="left"/>
      <w:pPr>
        <w:ind w:left="888" w:hanging="358"/>
      </w:pPr>
      <w:rPr>
        <w:rFonts w:hint="default"/>
        <w:lang w:val="en-US" w:eastAsia="en-US" w:bidi="ar-SA"/>
      </w:rPr>
    </w:lvl>
    <w:lvl w:ilvl="2" w:tplc="B35C633E">
      <w:numFmt w:val="bullet"/>
      <w:lvlText w:val="•"/>
      <w:lvlJc w:val="left"/>
      <w:pPr>
        <w:ind w:left="1316" w:hanging="358"/>
      </w:pPr>
      <w:rPr>
        <w:rFonts w:hint="default"/>
        <w:lang w:val="en-US" w:eastAsia="en-US" w:bidi="ar-SA"/>
      </w:rPr>
    </w:lvl>
    <w:lvl w:ilvl="3" w:tplc="D9588BC8">
      <w:numFmt w:val="bullet"/>
      <w:lvlText w:val="•"/>
      <w:lvlJc w:val="left"/>
      <w:pPr>
        <w:ind w:left="1744" w:hanging="358"/>
      </w:pPr>
      <w:rPr>
        <w:rFonts w:hint="default"/>
        <w:lang w:val="en-US" w:eastAsia="en-US" w:bidi="ar-SA"/>
      </w:rPr>
    </w:lvl>
    <w:lvl w:ilvl="4" w:tplc="1AE88B14">
      <w:numFmt w:val="bullet"/>
      <w:lvlText w:val="•"/>
      <w:lvlJc w:val="left"/>
      <w:pPr>
        <w:ind w:left="2172" w:hanging="358"/>
      </w:pPr>
      <w:rPr>
        <w:rFonts w:hint="default"/>
        <w:lang w:val="en-US" w:eastAsia="en-US" w:bidi="ar-SA"/>
      </w:rPr>
    </w:lvl>
    <w:lvl w:ilvl="5" w:tplc="0448C150">
      <w:numFmt w:val="bullet"/>
      <w:lvlText w:val="•"/>
      <w:lvlJc w:val="left"/>
      <w:pPr>
        <w:ind w:left="2600" w:hanging="358"/>
      </w:pPr>
      <w:rPr>
        <w:rFonts w:hint="default"/>
        <w:lang w:val="en-US" w:eastAsia="en-US" w:bidi="ar-SA"/>
      </w:rPr>
    </w:lvl>
    <w:lvl w:ilvl="6" w:tplc="BD5AAB90">
      <w:numFmt w:val="bullet"/>
      <w:lvlText w:val="•"/>
      <w:lvlJc w:val="left"/>
      <w:pPr>
        <w:ind w:left="3028" w:hanging="358"/>
      </w:pPr>
      <w:rPr>
        <w:rFonts w:hint="default"/>
        <w:lang w:val="en-US" w:eastAsia="en-US" w:bidi="ar-SA"/>
      </w:rPr>
    </w:lvl>
    <w:lvl w:ilvl="7" w:tplc="2E4A21C4">
      <w:numFmt w:val="bullet"/>
      <w:lvlText w:val="•"/>
      <w:lvlJc w:val="left"/>
      <w:pPr>
        <w:ind w:left="3456" w:hanging="358"/>
      </w:pPr>
      <w:rPr>
        <w:rFonts w:hint="default"/>
        <w:lang w:val="en-US" w:eastAsia="en-US" w:bidi="ar-SA"/>
      </w:rPr>
    </w:lvl>
    <w:lvl w:ilvl="8" w:tplc="D8EEAD24">
      <w:numFmt w:val="bullet"/>
      <w:lvlText w:val="•"/>
      <w:lvlJc w:val="left"/>
      <w:pPr>
        <w:ind w:left="3884" w:hanging="358"/>
      </w:pPr>
      <w:rPr>
        <w:rFonts w:hint="default"/>
        <w:lang w:val="en-US" w:eastAsia="en-US" w:bidi="ar-SA"/>
      </w:rPr>
    </w:lvl>
  </w:abstractNum>
  <w:num w:numId="1">
    <w:abstractNumId w:val="3"/>
  </w:num>
  <w:num w:numId="2">
    <w:abstractNumId w:val="7"/>
  </w:num>
  <w:num w:numId="3">
    <w:abstractNumId w:val="5"/>
  </w:num>
  <w:num w:numId="4">
    <w:abstractNumId w:val="6"/>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1C"/>
    <w:rsid w:val="000155E1"/>
    <w:rsid w:val="00044375"/>
    <w:rsid w:val="00060F46"/>
    <w:rsid w:val="000656AE"/>
    <w:rsid w:val="000F0045"/>
    <w:rsid w:val="0010499F"/>
    <w:rsid w:val="00104C2B"/>
    <w:rsid w:val="0013326D"/>
    <w:rsid w:val="00160B30"/>
    <w:rsid w:val="00177932"/>
    <w:rsid w:val="00192C25"/>
    <w:rsid w:val="0022358E"/>
    <w:rsid w:val="002B117E"/>
    <w:rsid w:val="002C3363"/>
    <w:rsid w:val="002C49C1"/>
    <w:rsid w:val="002D680B"/>
    <w:rsid w:val="002F3234"/>
    <w:rsid w:val="003236C4"/>
    <w:rsid w:val="0032514E"/>
    <w:rsid w:val="00344F5D"/>
    <w:rsid w:val="00347358"/>
    <w:rsid w:val="00354EC7"/>
    <w:rsid w:val="003A2082"/>
    <w:rsid w:val="003C63D4"/>
    <w:rsid w:val="003F5E4A"/>
    <w:rsid w:val="00435031"/>
    <w:rsid w:val="00472469"/>
    <w:rsid w:val="00485111"/>
    <w:rsid w:val="005414A0"/>
    <w:rsid w:val="00541771"/>
    <w:rsid w:val="00547C56"/>
    <w:rsid w:val="005D622C"/>
    <w:rsid w:val="00640BF0"/>
    <w:rsid w:val="00656BBB"/>
    <w:rsid w:val="00670CB4"/>
    <w:rsid w:val="006924FD"/>
    <w:rsid w:val="00694F80"/>
    <w:rsid w:val="006C6EED"/>
    <w:rsid w:val="006E209A"/>
    <w:rsid w:val="006E7B65"/>
    <w:rsid w:val="00702D01"/>
    <w:rsid w:val="00712366"/>
    <w:rsid w:val="007837AD"/>
    <w:rsid w:val="007A7E78"/>
    <w:rsid w:val="007B0F64"/>
    <w:rsid w:val="007C2DA4"/>
    <w:rsid w:val="007E53E5"/>
    <w:rsid w:val="00824748"/>
    <w:rsid w:val="00862745"/>
    <w:rsid w:val="00877F97"/>
    <w:rsid w:val="008D4A58"/>
    <w:rsid w:val="008D65B6"/>
    <w:rsid w:val="008E4E5C"/>
    <w:rsid w:val="008E51A6"/>
    <w:rsid w:val="008E6CB4"/>
    <w:rsid w:val="009072F7"/>
    <w:rsid w:val="0093616E"/>
    <w:rsid w:val="00957A9C"/>
    <w:rsid w:val="0097673C"/>
    <w:rsid w:val="00994112"/>
    <w:rsid w:val="009A27CB"/>
    <w:rsid w:val="009A5B71"/>
    <w:rsid w:val="009C7082"/>
    <w:rsid w:val="009D0011"/>
    <w:rsid w:val="00A12FF8"/>
    <w:rsid w:val="00A23831"/>
    <w:rsid w:val="00A45F9A"/>
    <w:rsid w:val="00A464C0"/>
    <w:rsid w:val="00A723C3"/>
    <w:rsid w:val="00A7357D"/>
    <w:rsid w:val="00A9252C"/>
    <w:rsid w:val="00AA6D3E"/>
    <w:rsid w:val="00AF2396"/>
    <w:rsid w:val="00B075CA"/>
    <w:rsid w:val="00BC1040"/>
    <w:rsid w:val="00BF69B5"/>
    <w:rsid w:val="00C07849"/>
    <w:rsid w:val="00C13DE2"/>
    <w:rsid w:val="00C26194"/>
    <w:rsid w:val="00C61B99"/>
    <w:rsid w:val="00C83D48"/>
    <w:rsid w:val="00CA61DA"/>
    <w:rsid w:val="00CA692F"/>
    <w:rsid w:val="00CC21F1"/>
    <w:rsid w:val="00CD5DA2"/>
    <w:rsid w:val="00D20976"/>
    <w:rsid w:val="00D26256"/>
    <w:rsid w:val="00D42814"/>
    <w:rsid w:val="00D97312"/>
    <w:rsid w:val="00DA166C"/>
    <w:rsid w:val="00DC0C1C"/>
    <w:rsid w:val="00DF1469"/>
    <w:rsid w:val="00E37546"/>
    <w:rsid w:val="00E426E5"/>
    <w:rsid w:val="00EB28AC"/>
    <w:rsid w:val="00EB3945"/>
    <w:rsid w:val="00F04462"/>
    <w:rsid w:val="00F04F0C"/>
    <w:rsid w:val="00F36CE9"/>
    <w:rsid w:val="00F850BF"/>
    <w:rsid w:val="00FC4F5C"/>
    <w:rsid w:val="01C95E0F"/>
    <w:rsid w:val="05148E5C"/>
    <w:rsid w:val="0720A321"/>
    <w:rsid w:val="07E76532"/>
    <w:rsid w:val="0921C039"/>
    <w:rsid w:val="09D46FF4"/>
    <w:rsid w:val="0B1CD292"/>
    <w:rsid w:val="0D9D3B6E"/>
    <w:rsid w:val="0DDAC2B2"/>
    <w:rsid w:val="0E2B65FF"/>
    <w:rsid w:val="0E615871"/>
    <w:rsid w:val="0F544654"/>
    <w:rsid w:val="0F5FA08C"/>
    <w:rsid w:val="0F792200"/>
    <w:rsid w:val="102A891B"/>
    <w:rsid w:val="1090FC10"/>
    <w:rsid w:val="119FC5B0"/>
    <w:rsid w:val="11C6597C"/>
    <w:rsid w:val="1231D42A"/>
    <w:rsid w:val="1AF6F476"/>
    <w:rsid w:val="1BA3D65D"/>
    <w:rsid w:val="1CB19DF1"/>
    <w:rsid w:val="1CE94F70"/>
    <w:rsid w:val="1ECE42D0"/>
    <w:rsid w:val="1ED4C9D7"/>
    <w:rsid w:val="1FA4F5DA"/>
    <w:rsid w:val="225516CA"/>
    <w:rsid w:val="230F665C"/>
    <w:rsid w:val="2465E939"/>
    <w:rsid w:val="25B28945"/>
    <w:rsid w:val="25C0A0F1"/>
    <w:rsid w:val="2852908E"/>
    <w:rsid w:val="28FFC594"/>
    <w:rsid w:val="2D9AB3EC"/>
    <w:rsid w:val="2EB34810"/>
    <w:rsid w:val="2F88FBD1"/>
    <w:rsid w:val="300D2DF3"/>
    <w:rsid w:val="325FAFD1"/>
    <w:rsid w:val="34F178CC"/>
    <w:rsid w:val="360EE2AC"/>
    <w:rsid w:val="3B36639E"/>
    <w:rsid w:val="3B81A949"/>
    <w:rsid w:val="3C7C0B72"/>
    <w:rsid w:val="3E275A8B"/>
    <w:rsid w:val="3ED16240"/>
    <w:rsid w:val="3FA81463"/>
    <w:rsid w:val="3FAA02A1"/>
    <w:rsid w:val="402B764A"/>
    <w:rsid w:val="4127FC61"/>
    <w:rsid w:val="4130B26E"/>
    <w:rsid w:val="414F7C95"/>
    <w:rsid w:val="4181A490"/>
    <w:rsid w:val="47D271B2"/>
    <w:rsid w:val="47E5F85B"/>
    <w:rsid w:val="4987BA46"/>
    <w:rsid w:val="4DC58C06"/>
    <w:rsid w:val="4E917FC6"/>
    <w:rsid w:val="50A68352"/>
    <w:rsid w:val="50AE5540"/>
    <w:rsid w:val="51C50E27"/>
    <w:rsid w:val="524B071D"/>
    <w:rsid w:val="5261B3BB"/>
    <w:rsid w:val="53099FED"/>
    <w:rsid w:val="53440E5B"/>
    <w:rsid w:val="53C1251C"/>
    <w:rsid w:val="54408ACF"/>
    <w:rsid w:val="54FFEC6D"/>
    <w:rsid w:val="551785FB"/>
    <w:rsid w:val="55747657"/>
    <w:rsid w:val="571DF5BA"/>
    <w:rsid w:val="576EF156"/>
    <w:rsid w:val="599AF6EC"/>
    <w:rsid w:val="5A575640"/>
    <w:rsid w:val="5CBCBEDA"/>
    <w:rsid w:val="5D45B47B"/>
    <w:rsid w:val="5E4104CF"/>
    <w:rsid w:val="5EDBAFF8"/>
    <w:rsid w:val="6165E677"/>
    <w:rsid w:val="62DDD030"/>
    <w:rsid w:val="64CBFFE2"/>
    <w:rsid w:val="64E28CB3"/>
    <w:rsid w:val="69B9FF4E"/>
    <w:rsid w:val="6A568E7E"/>
    <w:rsid w:val="6BA4D8CF"/>
    <w:rsid w:val="6C36A335"/>
    <w:rsid w:val="6D83BD97"/>
    <w:rsid w:val="6DC140BA"/>
    <w:rsid w:val="6F19B3B0"/>
    <w:rsid w:val="6F708C5E"/>
    <w:rsid w:val="6FAF9103"/>
    <w:rsid w:val="6FB152AB"/>
    <w:rsid w:val="702AA858"/>
    <w:rsid w:val="708531EB"/>
    <w:rsid w:val="734AC14D"/>
    <w:rsid w:val="73B3B4F4"/>
    <w:rsid w:val="73F3B2B3"/>
    <w:rsid w:val="74A32099"/>
    <w:rsid w:val="75FE76A1"/>
    <w:rsid w:val="764E5104"/>
    <w:rsid w:val="7668F6BA"/>
    <w:rsid w:val="767EBDE1"/>
    <w:rsid w:val="77E286B6"/>
    <w:rsid w:val="79C8B58F"/>
    <w:rsid w:val="7A293C50"/>
    <w:rsid w:val="7A3ECB68"/>
    <w:rsid w:val="7CCA02FF"/>
    <w:rsid w:val="7EF93F62"/>
    <w:rsid w:val="7F883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F6BA3"/>
  <w15:docId w15:val="{80DC0CE1-8DA4-4DAE-B29C-0DA5132E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221"/>
      <w:outlineLvl w:val="0"/>
    </w:pPr>
    <w:rPr>
      <w:b/>
      <w:bCs/>
      <w:sz w:val="28"/>
      <w:szCs w:val="28"/>
    </w:rPr>
  </w:style>
  <w:style w:type="paragraph" w:styleId="Heading2">
    <w:name w:val="heading 2"/>
    <w:basedOn w:val="Normal"/>
    <w:uiPriority w:val="9"/>
    <w:unhideWhenUsed/>
    <w:qFormat/>
    <w:rsid w:val="00A464C0"/>
    <w:pPr>
      <w:spacing w:after="160" w:line="259" w:lineRule="auto"/>
      <w:ind w:left="2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58" w:hanging="737"/>
    </w:pPr>
  </w:style>
  <w:style w:type="paragraph" w:customStyle="1" w:styleId="TableParagraph">
    <w:name w:val="Table Paragraph"/>
    <w:basedOn w:val="Normal"/>
    <w:uiPriority w:val="1"/>
    <w:qFormat/>
    <w:pPr>
      <w:ind w:left="465" w:hanging="358"/>
    </w:pPr>
  </w:style>
  <w:style w:type="character" w:styleId="CommentReference">
    <w:name w:val="annotation reference"/>
    <w:basedOn w:val="DefaultParagraphFont"/>
    <w:uiPriority w:val="99"/>
    <w:semiHidden/>
    <w:unhideWhenUsed/>
    <w:rsid w:val="007C2DA4"/>
    <w:rPr>
      <w:sz w:val="16"/>
      <w:szCs w:val="16"/>
    </w:rPr>
  </w:style>
  <w:style w:type="paragraph" w:styleId="CommentText">
    <w:name w:val="annotation text"/>
    <w:basedOn w:val="Normal"/>
    <w:link w:val="CommentTextChar"/>
    <w:uiPriority w:val="99"/>
    <w:semiHidden/>
    <w:unhideWhenUsed/>
    <w:rsid w:val="007C2DA4"/>
    <w:rPr>
      <w:sz w:val="20"/>
      <w:szCs w:val="20"/>
    </w:rPr>
  </w:style>
  <w:style w:type="character" w:customStyle="1" w:styleId="CommentTextChar">
    <w:name w:val="Comment Text Char"/>
    <w:basedOn w:val="DefaultParagraphFont"/>
    <w:link w:val="CommentText"/>
    <w:uiPriority w:val="99"/>
    <w:semiHidden/>
    <w:rsid w:val="007C2DA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C2DA4"/>
    <w:rPr>
      <w:b/>
      <w:bCs/>
    </w:rPr>
  </w:style>
  <w:style w:type="character" w:customStyle="1" w:styleId="CommentSubjectChar">
    <w:name w:val="Comment Subject Char"/>
    <w:basedOn w:val="CommentTextChar"/>
    <w:link w:val="CommentSubject"/>
    <w:uiPriority w:val="99"/>
    <w:semiHidden/>
    <w:rsid w:val="007C2DA4"/>
    <w:rPr>
      <w:rFonts w:ascii="Arial" w:eastAsia="Arial" w:hAnsi="Arial" w:cs="Arial"/>
      <w:b/>
      <w:bCs/>
      <w:sz w:val="20"/>
      <w:szCs w:val="20"/>
    </w:rPr>
  </w:style>
  <w:style w:type="paragraph" w:styleId="BalloonText">
    <w:name w:val="Balloon Text"/>
    <w:basedOn w:val="Normal"/>
    <w:link w:val="BalloonTextChar"/>
    <w:uiPriority w:val="99"/>
    <w:semiHidden/>
    <w:unhideWhenUsed/>
    <w:rsid w:val="007C2D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DA4"/>
    <w:rPr>
      <w:rFonts w:ascii="Segoe UI" w:eastAsia="Arial" w:hAnsi="Segoe UI" w:cs="Segoe UI"/>
      <w:sz w:val="18"/>
      <w:szCs w:val="18"/>
    </w:rPr>
  </w:style>
  <w:style w:type="character" w:styleId="Hyperlink">
    <w:name w:val="Hyperlink"/>
    <w:basedOn w:val="DefaultParagraphFont"/>
    <w:uiPriority w:val="99"/>
    <w:unhideWhenUsed/>
    <w:rsid w:val="00E426E5"/>
    <w:rPr>
      <w:color w:val="0000FF" w:themeColor="hyperlink"/>
      <w:u w:val="single"/>
    </w:rPr>
  </w:style>
  <w:style w:type="character" w:styleId="UnresolvedMention">
    <w:name w:val="Unresolved Mention"/>
    <w:basedOn w:val="DefaultParagraphFont"/>
    <w:uiPriority w:val="99"/>
    <w:unhideWhenUsed/>
    <w:rsid w:val="00E426E5"/>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ecure.crbonline.gov.uk/enquiry/enquirySearch.do" TargetMode="External"/><Relationship Id="rId4" Type="http://schemas.openxmlformats.org/officeDocument/2006/relationships/customXml" Target="../customXml/item4.xml"/><Relationship Id="rId9" Type="http://schemas.openxmlformats.org/officeDocument/2006/relationships/hyperlink" Target="mailto:magistrateshrteam@judiciary.uk" TargetMode="External"/></Relationships>
</file>

<file path=word/documenttasks/documenttasks1.xml><?xml version="1.0" encoding="utf-8"?>
<t:Tasks xmlns:t="http://schemas.microsoft.com/office/tasks/2019/documenttasks" xmlns:oel="http://schemas.microsoft.com/office/2019/extlst">
  <t:Task id="{41E6E929-A189-4440-9D7F-901922D7A365}">
    <t:Anchor>
      <t:Comment id="622635749"/>
    </t:Anchor>
    <t:History>
      <t:Event id="{BC663BC3-4B5F-4D0D-831F-C3C6EE057235}" time="2021-12-10T19:26:28.403Z">
        <t:Attribution userId="S::laura.wilson7@justice.gov.uk::4fc5c4e2-b4e9-4450-8556-379f023038af" userProvider="AD" userName="Wilson, Laura"/>
        <t:Anchor>
          <t:Comment id="1954925257"/>
        </t:Anchor>
        <t:Create/>
      </t:Event>
      <t:Event id="{BC00D563-C365-420C-AD8E-2432808EE7E6}" time="2021-12-10T19:26:28.403Z">
        <t:Attribution userId="S::laura.wilson7@justice.gov.uk::4fc5c4e2-b4e9-4450-8556-379f023038af" userProvider="AD" userName="Wilson, Laura"/>
        <t:Anchor>
          <t:Comment id="1954925257"/>
        </t:Anchor>
        <t:Assign userId="S::Lauren.Moore2@justice.gov.uk::4a7484ec-644e-45e7-a927-417c1bb93564" userProvider="AD" userName="Moore, Lauren"/>
      </t:Event>
      <t:Event id="{2B340C78-4499-4B0E-A0BE-CB33009ADB24}" time="2021-12-10T19:26:28.403Z">
        <t:Attribution userId="S::laura.wilson7@justice.gov.uk::4fc5c4e2-b4e9-4450-8556-379f023038af" userProvider="AD" userName="Wilson, Laura"/>
        <t:Anchor>
          <t:Comment id="1954925257"/>
        </t:Anchor>
        <t:SetTitle title="@Moore, Lauren if we haven't can we add this to the candidate guida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A753DF4DCABD409F072337B569714A" ma:contentTypeVersion="9" ma:contentTypeDescription="Create a new document." ma:contentTypeScope="" ma:versionID="7210f5e0d85ef1fa15b91506f42eb3dc">
  <xsd:schema xmlns:xsd="http://www.w3.org/2001/XMLSchema" xmlns:xs="http://www.w3.org/2001/XMLSchema" xmlns:p="http://schemas.microsoft.com/office/2006/metadata/properties" xmlns:ns2="01236d5c-8f2e-481f-91ea-f14ae46f54b1" xmlns:ns3="f38c3769-d699-4bf9-ace8-286b620e47f4" targetNamespace="http://schemas.microsoft.com/office/2006/metadata/properties" ma:root="true" ma:fieldsID="3364744216b520c826f5216e36fdf333" ns2:_="" ns3:_="">
    <xsd:import namespace="01236d5c-8f2e-481f-91ea-f14ae46f54b1"/>
    <xsd:import namespace="f38c3769-d699-4bf9-ace8-286b620e47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36d5c-8f2e-481f-91ea-f14ae46f5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c3769-d699-4bf9-ace8-286b620e47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38c3769-d699-4bf9-ace8-286b620e47f4">
      <UserInfo>
        <DisplayName>Charman, Daniel</DisplayName>
        <AccountId>17</AccountId>
        <AccountType/>
      </UserInfo>
    </SharedWithUsers>
  </documentManagement>
</p:properties>
</file>

<file path=customXml/itemProps1.xml><?xml version="1.0" encoding="utf-8"?>
<ds:datastoreItem xmlns:ds="http://schemas.openxmlformats.org/officeDocument/2006/customXml" ds:itemID="{A7E6F50C-88F7-45D1-9F0F-57027FEC1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36d5c-8f2e-481f-91ea-f14ae46f54b1"/>
    <ds:schemaRef ds:uri="f38c3769-d699-4bf9-ace8-286b620e4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E4B8F-FBDB-4FEC-9052-80A242BA6811}">
  <ds:schemaRefs>
    <ds:schemaRef ds:uri="http://schemas.openxmlformats.org/officeDocument/2006/bibliography"/>
  </ds:schemaRefs>
</ds:datastoreItem>
</file>

<file path=customXml/itemProps3.xml><?xml version="1.0" encoding="utf-8"?>
<ds:datastoreItem xmlns:ds="http://schemas.openxmlformats.org/officeDocument/2006/customXml" ds:itemID="{9662E12F-DB74-4043-BAFC-E85040B8B4BB}">
  <ds:schemaRefs>
    <ds:schemaRef ds:uri="http://schemas.microsoft.com/sharepoint/v3/contenttype/forms"/>
  </ds:schemaRefs>
</ds:datastoreItem>
</file>

<file path=customXml/itemProps4.xml><?xml version="1.0" encoding="utf-8"?>
<ds:datastoreItem xmlns:ds="http://schemas.openxmlformats.org/officeDocument/2006/customXml" ds:itemID="{FBC1C711-3F82-4CF3-84BC-4A2E63FD6CA6}">
  <ds:schemaRefs>
    <ds:schemaRef ds:uri="http://schemas.microsoft.com/office/2006/metadata/properties"/>
    <ds:schemaRef ds:uri="http://schemas.microsoft.com/office/infopath/2007/PartnerControls"/>
    <ds:schemaRef ds:uri="f38c3769-d699-4bf9-ace8-286b620e47f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1445</Words>
  <Characters>8239</Characters>
  <Application>Microsoft Office Word</Application>
  <DocSecurity>0</DocSecurity>
  <Lines>68</Lines>
  <Paragraphs>19</Paragraphs>
  <ScaleCrop>false</ScaleCrop>
  <Company>MOJ</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Chancellor and Secretary of State’s Directions for Advisory Committees on Justices of the Peace</dc:title>
  <dc:creator>Ministry of Justice</dc:creator>
  <cp:keywords>Ministry of Justice; Lord Chancellor; Secretary of State; Direction; Advisory; Committee; Justice; Peace;</cp:keywords>
  <cp:lastModifiedBy>Hardy, Samuel</cp:lastModifiedBy>
  <cp:revision>3</cp:revision>
  <dcterms:created xsi:type="dcterms:W3CDTF">2022-07-07T16:25:00Z</dcterms:created>
  <dcterms:modified xsi:type="dcterms:W3CDTF">2022-07-07T16:25:00Z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Aspose Ltd.</vt:lpwstr>
  </property>
  <property fmtid="{D5CDD505-2E9C-101B-9397-08002B2CF9AE}" pid="4" name="LastSaved">
    <vt:filetime>2021-06-10T00:00:00Z</vt:filetime>
  </property>
  <property fmtid="{D5CDD505-2E9C-101B-9397-08002B2CF9AE}" pid="5" name="ContentTypeId">
    <vt:lpwstr>0x01010017A753DF4DCABD409F072337B569714A</vt:lpwstr>
  </property>
</Properties>
</file>