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107FE" w14:textId="77777777" w:rsidR="00D21AD7" w:rsidRPr="00AC5FD4" w:rsidRDefault="00D21AD7" w:rsidP="00B50909">
      <w:pPr>
        <w:tabs>
          <w:tab w:val="left" w:pos="-1095"/>
          <w:tab w:val="left" w:pos="-720"/>
          <w:tab w:val="right" w:pos="9072"/>
        </w:tabs>
        <w:suppressAutoHyphens/>
        <w:spacing w:line="480" w:lineRule="auto"/>
        <w:jc w:val="both"/>
        <w:rPr>
          <w:rFonts w:ascii="Trebuchet MS" w:hAnsi="Trebuchet MS"/>
          <w:b/>
          <w:spacing w:val="-3"/>
          <w:u w:val="single"/>
        </w:rPr>
      </w:pPr>
      <w:r w:rsidRPr="00AC5FD4">
        <w:rPr>
          <w:rFonts w:ascii="Trebuchet MS" w:hAnsi="Trebuchet MS"/>
          <w:b/>
          <w:spacing w:val="-3"/>
          <w:u w:val="single"/>
        </w:rPr>
        <w:t>IN THE HIGH COURT OF JUSTICE</w:t>
      </w:r>
      <w:r w:rsidRPr="00AC5FD4">
        <w:rPr>
          <w:rFonts w:ascii="Trebuchet MS" w:hAnsi="Trebuchet MS"/>
          <w:b/>
          <w:spacing w:val="-3"/>
        </w:rPr>
        <w:tab/>
      </w:r>
      <w:r w:rsidRPr="00AC5FD4">
        <w:rPr>
          <w:rFonts w:ascii="Trebuchet MS" w:hAnsi="Trebuchet MS"/>
          <w:b/>
          <w:spacing w:val="-3"/>
          <w:u w:val="single"/>
        </w:rPr>
        <w:t>Claim No</w:t>
      </w:r>
      <w:r>
        <w:rPr>
          <w:rFonts w:ascii="Trebuchet MS" w:hAnsi="Trebuchet MS"/>
          <w:b/>
          <w:spacing w:val="-3"/>
          <w:u w:val="single"/>
        </w:rPr>
        <w:t xml:space="preserve">: </w:t>
      </w:r>
      <w:proofErr w:type="spellStart"/>
      <w:r w:rsidR="000300A6">
        <w:rPr>
          <w:rFonts w:ascii="Trebuchet MS" w:hAnsi="Trebuchet MS"/>
          <w:b/>
          <w:spacing w:val="-3"/>
          <w:u w:val="single"/>
        </w:rPr>
        <w:t>QB</w:t>
      </w:r>
      <w:proofErr w:type="spellEnd"/>
      <w:r w:rsidR="000300A6">
        <w:rPr>
          <w:rFonts w:ascii="Trebuchet MS" w:hAnsi="Trebuchet MS"/>
          <w:b/>
          <w:spacing w:val="-3"/>
          <w:u w:val="single"/>
        </w:rPr>
        <w:t>-2019-001548</w:t>
      </w:r>
    </w:p>
    <w:p w14:paraId="509C82F9" w14:textId="77777777" w:rsidR="00D21AD7" w:rsidRDefault="00D21AD7" w:rsidP="00612CDD">
      <w:pPr>
        <w:tabs>
          <w:tab w:val="left" w:pos="-1095"/>
          <w:tab w:val="left" w:pos="-720"/>
          <w:tab w:val="right" w:pos="8364"/>
        </w:tabs>
        <w:suppressAutoHyphens/>
        <w:spacing w:line="480" w:lineRule="auto"/>
        <w:jc w:val="both"/>
        <w:rPr>
          <w:rFonts w:ascii="Trebuchet MS" w:hAnsi="Trebuchet MS"/>
          <w:b/>
          <w:spacing w:val="-3"/>
          <w:u w:val="single"/>
        </w:rPr>
      </w:pPr>
      <w:r w:rsidRPr="00AC5FD4">
        <w:rPr>
          <w:rFonts w:ascii="Trebuchet MS" w:hAnsi="Trebuchet MS"/>
          <w:b/>
          <w:spacing w:val="-3"/>
          <w:u w:val="single"/>
        </w:rPr>
        <w:t>QUEENS BENCH DIVISION</w:t>
      </w:r>
    </w:p>
    <w:p w14:paraId="1F597349" w14:textId="77777777" w:rsidR="00A02025" w:rsidRDefault="00A02025" w:rsidP="00B50909">
      <w:pPr>
        <w:tabs>
          <w:tab w:val="left" w:pos="-1095"/>
          <w:tab w:val="left" w:pos="-720"/>
        </w:tabs>
        <w:suppressAutoHyphens/>
        <w:spacing w:line="480" w:lineRule="auto"/>
        <w:jc w:val="both"/>
        <w:rPr>
          <w:rFonts w:ascii="Trebuchet MS" w:hAnsi="Trebuchet MS"/>
          <w:b/>
          <w:spacing w:val="-3"/>
          <w:u w:val="single"/>
        </w:rPr>
      </w:pPr>
      <w:r w:rsidRPr="00A02025">
        <w:rPr>
          <w:rFonts w:ascii="Trebuchet MS" w:hAnsi="Trebuchet MS"/>
          <w:b/>
          <w:spacing w:val="-3"/>
          <w:u w:val="single"/>
        </w:rPr>
        <w:t>CLIVE SHELDON QC (SITTING AS A DEPUTY JUDGE OF THE HIGH COURT)</w:t>
      </w:r>
    </w:p>
    <w:p w14:paraId="45A86F6B" w14:textId="77777777" w:rsidR="00D21AD7" w:rsidRPr="00AC5FD4" w:rsidRDefault="00D21AD7" w:rsidP="00B50909">
      <w:pPr>
        <w:tabs>
          <w:tab w:val="left" w:pos="-1095"/>
          <w:tab w:val="left" w:pos="-720"/>
        </w:tabs>
        <w:suppressAutoHyphens/>
        <w:spacing w:line="480" w:lineRule="auto"/>
        <w:jc w:val="both"/>
        <w:rPr>
          <w:rFonts w:ascii="Trebuchet MS" w:hAnsi="Trebuchet MS"/>
          <w:b/>
          <w:spacing w:val="-3"/>
        </w:rPr>
      </w:pPr>
      <w:r w:rsidRPr="00AC5FD4">
        <w:rPr>
          <w:rFonts w:ascii="Trebuchet MS" w:hAnsi="Trebuchet MS"/>
          <w:b/>
          <w:spacing w:val="-3"/>
        </w:rPr>
        <w:t>BETWEEN</w:t>
      </w:r>
    </w:p>
    <w:p w14:paraId="69C722AD" w14:textId="77777777" w:rsidR="00D21AD7" w:rsidRPr="00AC5FD4" w:rsidRDefault="00D21AD7">
      <w:pPr>
        <w:tabs>
          <w:tab w:val="left" w:pos="-1095"/>
          <w:tab w:val="left" w:pos="-720"/>
        </w:tabs>
        <w:suppressAutoHyphens/>
        <w:jc w:val="both"/>
        <w:rPr>
          <w:rFonts w:ascii="Trebuchet MS" w:hAnsi="Trebuchet MS"/>
          <w:spacing w:val="-3"/>
        </w:rPr>
      </w:pPr>
      <w:r w:rsidRPr="00AC5FD4">
        <w:rPr>
          <w:rFonts w:ascii="Trebuchet MS" w:hAnsi="Trebuchet MS"/>
          <w:spacing w:val="-3"/>
        </w:rPr>
        <w:t xml:space="preserve">  </w:t>
      </w:r>
    </w:p>
    <w:p w14:paraId="178A39A4" w14:textId="77777777" w:rsidR="00D21AD7" w:rsidRDefault="00403C0B" w:rsidP="00184DA1">
      <w:pPr>
        <w:tabs>
          <w:tab w:val="left" w:pos="-1095"/>
          <w:tab w:val="left" w:pos="-720"/>
        </w:tabs>
        <w:suppressAutoHyphens/>
        <w:jc w:val="center"/>
        <w:rPr>
          <w:rFonts w:ascii="Trebuchet MS" w:hAnsi="Trebuchet MS"/>
          <w:b/>
        </w:rPr>
      </w:pPr>
      <w:proofErr w:type="spellStart"/>
      <w:r>
        <w:rPr>
          <w:rFonts w:ascii="Trebuchet MS" w:hAnsi="Trebuchet MS"/>
          <w:b/>
        </w:rPr>
        <w:t>XSC</w:t>
      </w:r>
      <w:proofErr w:type="spellEnd"/>
      <w:r w:rsidR="007F6C15">
        <w:rPr>
          <w:rFonts w:ascii="Trebuchet MS" w:hAnsi="Trebuchet MS"/>
          <w:b/>
        </w:rPr>
        <w:t xml:space="preserve"> (A Protected Party by his Wife and</w:t>
      </w:r>
    </w:p>
    <w:p w14:paraId="2CD2068C" w14:textId="77777777" w:rsidR="007F6C15" w:rsidRPr="00AC5FD4" w:rsidRDefault="007F6C15" w:rsidP="00184DA1">
      <w:pPr>
        <w:tabs>
          <w:tab w:val="left" w:pos="-1095"/>
          <w:tab w:val="left" w:pos="-720"/>
        </w:tabs>
        <w:suppressAutoHyphens/>
        <w:jc w:val="center"/>
        <w:rPr>
          <w:rFonts w:ascii="Trebuchet MS" w:hAnsi="Trebuchet MS"/>
          <w:b/>
          <w:u w:val="single"/>
        </w:rPr>
      </w:pPr>
      <w:r>
        <w:rPr>
          <w:rFonts w:ascii="Trebuchet MS" w:hAnsi="Trebuchet MS"/>
          <w:b/>
        </w:rPr>
        <w:t xml:space="preserve">Litigation Friend, </w:t>
      </w:r>
      <w:proofErr w:type="spellStart"/>
      <w:r w:rsidR="00403C0B">
        <w:rPr>
          <w:rFonts w:ascii="Trebuchet MS" w:hAnsi="Trebuchet MS"/>
          <w:b/>
        </w:rPr>
        <w:t>XMC</w:t>
      </w:r>
      <w:proofErr w:type="spellEnd"/>
      <w:r>
        <w:rPr>
          <w:rFonts w:ascii="Trebuchet MS" w:hAnsi="Trebuchet MS"/>
          <w:b/>
        </w:rPr>
        <w:t>)</w:t>
      </w:r>
    </w:p>
    <w:p w14:paraId="1051E4A8" w14:textId="77777777" w:rsidR="00D21AD7" w:rsidRPr="00AC5FD4" w:rsidRDefault="000300A6">
      <w:pPr>
        <w:tabs>
          <w:tab w:val="left" w:pos="-1095"/>
          <w:tab w:val="left" w:pos="-720"/>
        </w:tabs>
        <w:suppressAutoHyphens/>
        <w:jc w:val="right"/>
        <w:rPr>
          <w:rFonts w:ascii="Trebuchet MS" w:hAnsi="Trebuchet MS"/>
          <w:b/>
          <w:u w:val="single"/>
        </w:rPr>
      </w:pPr>
      <w:r>
        <w:rPr>
          <w:rFonts w:ascii="Trebuchet MS" w:hAnsi="Trebuchet MS"/>
          <w:b/>
          <w:u w:val="single"/>
        </w:rPr>
        <w:t>Claimant</w:t>
      </w:r>
    </w:p>
    <w:p w14:paraId="30BDB28F" w14:textId="77777777" w:rsidR="00D21AD7" w:rsidRPr="00AC5FD4" w:rsidRDefault="00D21AD7" w:rsidP="00A372D4">
      <w:pPr>
        <w:tabs>
          <w:tab w:val="left" w:pos="-1095"/>
          <w:tab w:val="left" w:pos="-720"/>
        </w:tabs>
        <w:suppressAutoHyphens/>
        <w:jc w:val="right"/>
        <w:rPr>
          <w:rFonts w:ascii="Trebuchet MS" w:hAnsi="Trebuchet MS"/>
          <w:b/>
        </w:rPr>
      </w:pPr>
    </w:p>
    <w:p w14:paraId="7877F442" w14:textId="77777777" w:rsidR="00D21AD7" w:rsidRPr="00AC5FD4" w:rsidRDefault="00D21AD7">
      <w:pPr>
        <w:tabs>
          <w:tab w:val="left" w:pos="-1095"/>
          <w:tab w:val="left" w:pos="-720"/>
        </w:tabs>
        <w:suppressAutoHyphens/>
        <w:jc w:val="center"/>
        <w:rPr>
          <w:rFonts w:ascii="Trebuchet MS" w:hAnsi="Trebuchet MS"/>
          <w:b/>
        </w:rPr>
      </w:pPr>
      <w:r w:rsidRPr="00AC5FD4">
        <w:rPr>
          <w:rFonts w:ascii="Trebuchet MS" w:hAnsi="Trebuchet MS"/>
          <w:b/>
        </w:rPr>
        <w:t>and</w:t>
      </w:r>
    </w:p>
    <w:p w14:paraId="2CE27FCA" w14:textId="77777777" w:rsidR="00D21AD7" w:rsidRPr="00AC5FD4" w:rsidRDefault="00D21AD7" w:rsidP="00701C7B">
      <w:pPr>
        <w:tabs>
          <w:tab w:val="left" w:pos="-1095"/>
          <w:tab w:val="left" w:pos="-720"/>
        </w:tabs>
        <w:suppressAutoHyphens/>
        <w:jc w:val="center"/>
        <w:rPr>
          <w:rFonts w:ascii="Trebuchet MS" w:hAnsi="Trebuchet MS"/>
          <w:b/>
        </w:rPr>
      </w:pPr>
    </w:p>
    <w:p w14:paraId="084D2CF2" w14:textId="77777777" w:rsidR="00D21AD7" w:rsidRPr="00AC5FD4" w:rsidRDefault="007F6C15" w:rsidP="00701C7B">
      <w:pPr>
        <w:tabs>
          <w:tab w:val="left" w:pos="-1095"/>
          <w:tab w:val="left" w:pos="-720"/>
        </w:tabs>
        <w:suppressAutoHyphens/>
        <w:jc w:val="center"/>
        <w:rPr>
          <w:rFonts w:ascii="Trebuchet MS" w:hAnsi="Trebuchet MS"/>
          <w:b/>
          <w:spacing w:val="-3"/>
        </w:rPr>
      </w:pPr>
      <w:r>
        <w:rPr>
          <w:rFonts w:ascii="Trebuchet MS" w:hAnsi="Trebuchet MS"/>
          <w:b/>
        </w:rPr>
        <w:t xml:space="preserve">THE </w:t>
      </w:r>
      <w:r w:rsidR="000300A6">
        <w:rPr>
          <w:rFonts w:ascii="Trebuchet MS" w:hAnsi="Trebuchet MS"/>
          <w:b/>
        </w:rPr>
        <w:t>ROYAL WOLVERHAMPTON NHS TRUST</w:t>
      </w:r>
    </w:p>
    <w:p w14:paraId="13C1FB1C" w14:textId="77777777" w:rsidR="00D21AD7" w:rsidRPr="00AC5FD4" w:rsidRDefault="000300A6">
      <w:pPr>
        <w:tabs>
          <w:tab w:val="left" w:pos="-1095"/>
          <w:tab w:val="left" w:pos="-720"/>
        </w:tabs>
        <w:suppressAutoHyphens/>
        <w:jc w:val="right"/>
        <w:rPr>
          <w:rFonts w:ascii="Trebuchet MS" w:hAnsi="Trebuchet MS"/>
          <w:b/>
          <w:u w:val="single"/>
        </w:rPr>
      </w:pPr>
      <w:r>
        <w:rPr>
          <w:rFonts w:ascii="Trebuchet MS" w:hAnsi="Trebuchet MS"/>
          <w:b/>
          <w:u w:val="single"/>
        </w:rPr>
        <w:t>Defendant</w:t>
      </w:r>
    </w:p>
    <w:p w14:paraId="13CB27AF" w14:textId="77777777" w:rsidR="00D21AD7" w:rsidRPr="00AC5FD4" w:rsidRDefault="00D21AD7" w:rsidP="00701C7B">
      <w:pPr>
        <w:tabs>
          <w:tab w:val="left" w:pos="-1095"/>
          <w:tab w:val="left" w:pos="-720"/>
        </w:tabs>
        <w:suppressAutoHyphens/>
        <w:jc w:val="right"/>
        <w:rPr>
          <w:rFonts w:ascii="Trebuchet MS" w:hAnsi="Trebuchet MS"/>
          <w:b/>
        </w:rPr>
      </w:pPr>
    </w:p>
    <w:p w14:paraId="73BE1520" w14:textId="77777777" w:rsidR="00D21AD7" w:rsidRPr="00AC5FD4" w:rsidRDefault="00D21AD7" w:rsidP="00CE31A0">
      <w:pPr>
        <w:pBdr>
          <w:bottom w:val="single" w:sz="6" w:space="1" w:color="auto"/>
        </w:pBdr>
        <w:tabs>
          <w:tab w:val="left" w:pos="-1095"/>
          <w:tab w:val="left" w:pos="-720"/>
          <w:tab w:val="right" w:pos="8364"/>
        </w:tabs>
        <w:suppressAutoHyphens/>
        <w:jc w:val="both"/>
        <w:rPr>
          <w:rFonts w:ascii="Trebuchet MS" w:hAnsi="Trebuchet MS"/>
          <w:b/>
          <w:spacing w:val="-3"/>
        </w:rPr>
      </w:pPr>
    </w:p>
    <w:p w14:paraId="5E3D6170" w14:textId="77777777" w:rsidR="00D21AD7" w:rsidRPr="00AC5FD4" w:rsidRDefault="00D21AD7" w:rsidP="00CE31A0">
      <w:pPr>
        <w:tabs>
          <w:tab w:val="left" w:pos="-1095"/>
          <w:tab w:val="left" w:pos="-720"/>
          <w:tab w:val="right" w:pos="8364"/>
        </w:tabs>
        <w:suppressAutoHyphens/>
        <w:jc w:val="both"/>
        <w:rPr>
          <w:rFonts w:ascii="Trebuchet MS" w:hAnsi="Trebuchet MS"/>
          <w:b/>
          <w:spacing w:val="-3"/>
        </w:rPr>
      </w:pPr>
    </w:p>
    <w:p w14:paraId="73CFE66B" w14:textId="77777777" w:rsidR="00D21AD7" w:rsidRPr="00AC5FD4" w:rsidRDefault="00D21AD7" w:rsidP="00CE31A0">
      <w:pPr>
        <w:tabs>
          <w:tab w:val="left" w:pos="-1095"/>
          <w:tab w:val="left" w:pos="-720"/>
          <w:tab w:val="right" w:pos="8364"/>
        </w:tabs>
        <w:suppressAutoHyphens/>
        <w:jc w:val="center"/>
        <w:rPr>
          <w:rFonts w:ascii="Trebuchet MS" w:hAnsi="Trebuchet MS"/>
          <w:b/>
          <w:spacing w:val="-3"/>
          <w:sz w:val="36"/>
          <w:szCs w:val="36"/>
        </w:rPr>
      </w:pPr>
      <w:r w:rsidRPr="00AC5FD4">
        <w:rPr>
          <w:rFonts w:ascii="Trebuchet MS" w:hAnsi="Trebuchet MS"/>
          <w:b/>
          <w:spacing w:val="-3"/>
          <w:sz w:val="36"/>
          <w:szCs w:val="36"/>
        </w:rPr>
        <w:t>ORDER</w:t>
      </w:r>
    </w:p>
    <w:p w14:paraId="09C783D2" w14:textId="77777777" w:rsidR="00D21AD7" w:rsidRPr="00AC5FD4" w:rsidRDefault="00D21AD7" w:rsidP="00CE31A0">
      <w:pPr>
        <w:pBdr>
          <w:bottom w:val="single" w:sz="6" w:space="1" w:color="auto"/>
        </w:pBdr>
        <w:tabs>
          <w:tab w:val="left" w:pos="-1095"/>
          <w:tab w:val="left" w:pos="-720"/>
          <w:tab w:val="right" w:pos="8364"/>
        </w:tabs>
        <w:suppressAutoHyphens/>
        <w:jc w:val="both"/>
        <w:rPr>
          <w:rFonts w:ascii="Trebuchet MS" w:hAnsi="Trebuchet MS"/>
          <w:b/>
          <w:spacing w:val="-3"/>
        </w:rPr>
      </w:pPr>
    </w:p>
    <w:p w14:paraId="4618C6F6" w14:textId="77777777" w:rsidR="002B485C" w:rsidRDefault="002B485C" w:rsidP="007F6C15">
      <w:pPr>
        <w:spacing w:line="360" w:lineRule="auto"/>
        <w:rPr>
          <w:b/>
          <w:sz w:val="36"/>
          <w:szCs w:val="36"/>
        </w:rPr>
      </w:pPr>
    </w:p>
    <w:p w14:paraId="3F95A3A2" w14:textId="77777777" w:rsidR="002B485C" w:rsidRDefault="002B485C" w:rsidP="005D2BD5">
      <w:pPr>
        <w:tabs>
          <w:tab w:val="left" w:pos="-1440"/>
        </w:tabs>
        <w:spacing w:line="480" w:lineRule="auto"/>
        <w:jc w:val="both"/>
      </w:pPr>
      <w:r>
        <w:rPr>
          <w:b/>
          <w:bCs/>
          <w:caps/>
        </w:rPr>
        <w:t xml:space="preserve">Before </w:t>
      </w:r>
      <w:r w:rsidR="00A02025">
        <w:t xml:space="preserve">Clive Sheldon QC (sitting as a Deputy Judge of the High Court) </w:t>
      </w:r>
      <w:r w:rsidR="000617D0" w:rsidRPr="009911CD">
        <w:t xml:space="preserve">in </w:t>
      </w:r>
      <w:r w:rsidR="007F6C15">
        <w:t>the High Court of Justice, Queen’s Bench Division, Royal Courts of Justice</w:t>
      </w:r>
      <w:r w:rsidR="000617D0" w:rsidRPr="009911CD">
        <w:t xml:space="preserve"> on </w:t>
      </w:r>
      <w:r w:rsidR="00991069">
        <w:t>4 October 2021</w:t>
      </w:r>
    </w:p>
    <w:p w14:paraId="6AB356A4" w14:textId="77777777" w:rsidR="0004140D" w:rsidRDefault="0004140D" w:rsidP="005D2BD5">
      <w:pPr>
        <w:tabs>
          <w:tab w:val="left" w:pos="-1440"/>
        </w:tabs>
        <w:spacing w:line="480" w:lineRule="auto"/>
        <w:jc w:val="both"/>
      </w:pPr>
    </w:p>
    <w:p w14:paraId="7D0FB4C8" w14:textId="77777777" w:rsidR="002B485C" w:rsidRDefault="002B485C" w:rsidP="005D2BD5">
      <w:pPr>
        <w:tabs>
          <w:tab w:val="left" w:pos="-1440"/>
        </w:tabs>
        <w:spacing w:line="480" w:lineRule="auto"/>
        <w:jc w:val="both"/>
      </w:pPr>
      <w:r>
        <w:rPr>
          <w:b/>
          <w:bCs/>
        </w:rPr>
        <w:t xml:space="preserve">UPON HEARING </w:t>
      </w:r>
      <w:r w:rsidR="000300A6">
        <w:t>Simon Fox QC</w:t>
      </w:r>
      <w:r>
        <w:t xml:space="preserve"> one of Her Majesty’s Counsel, on behalf of the </w:t>
      </w:r>
      <w:r w:rsidR="00852940">
        <w:t>Claimant and</w:t>
      </w:r>
      <w:r>
        <w:t xml:space="preserve"> </w:t>
      </w:r>
      <w:r w:rsidR="00C15D44">
        <w:t xml:space="preserve">Hannah Noyce, </w:t>
      </w:r>
      <w:r>
        <w:t>Coun</w:t>
      </w:r>
      <w:r w:rsidR="00852940">
        <w:t>sel, on behalf of the Defendant</w:t>
      </w:r>
    </w:p>
    <w:p w14:paraId="5E974960" w14:textId="77777777" w:rsidR="0004140D" w:rsidRDefault="0004140D" w:rsidP="005D2BD5">
      <w:pPr>
        <w:tabs>
          <w:tab w:val="left" w:pos="-1440"/>
        </w:tabs>
        <w:spacing w:line="480" w:lineRule="auto"/>
        <w:jc w:val="both"/>
      </w:pPr>
    </w:p>
    <w:p w14:paraId="6CE6D74A" w14:textId="77777777" w:rsidR="002B485C" w:rsidRDefault="002B485C" w:rsidP="005D2BD5">
      <w:pPr>
        <w:tabs>
          <w:tab w:val="left" w:pos="-1440"/>
        </w:tabs>
        <w:spacing w:line="480" w:lineRule="auto"/>
        <w:jc w:val="both"/>
      </w:pPr>
      <w:r>
        <w:rPr>
          <w:b/>
          <w:bCs/>
        </w:rPr>
        <w:t xml:space="preserve">WHEREAS </w:t>
      </w:r>
      <w:r>
        <w:t xml:space="preserve">the Claimant has made a claim (the “Claim”) against the Defendant for personal injuries suffered by him arising out of the Defendant’s negligence </w:t>
      </w:r>
      <w:r w:rsidR="007F6C15">
        <w:t xml:space="preserve">on 9 May </w:t>
      </w:r>
      <w:r w:rsidR="000300A6">
        <w:t>2016</w:t>
      </w:r>
      <w:r>
        <w:t xml:space="preserve"> and in respect of </w:t>
      </w:r>
      <w:r w:rsidR="0029626F">
        <w:t xml:space="preserve">which </w:t>
      </w:r>
      <w:r>
        <w:t>proceedings were commenced by the Claimant against the Defendant in the High Court of Justice</w:t>
      </w:r>
      <w:r w:rsidR="007F6C15">
        <w:t>,</w:t>
      </w:r>
      <w:r>
        <w:t xml:space="preserve"> Queen</w:t>
      </w:r>
      <w:r w:rsidR="00A84FC6">
        <w:t>’</w:t>
      </w:r>
      <w:r>
        <w:t xml:space="preserve">s Bench Division on </w:t>
      </w:r>
      <w:r w:rsidR="000300A6">
        <w:t>30th April 2019</w:t>
      </w:r>
    </w:p>
    <w:p w14:paraId="6EDE35E7" w14:textId="77777777" w:rsidR="002B485C" w:rsidRDefault="002B485C" w:rsidP="005D2BD5">
      <w:pPr>
        <w:tabs>
          <w:tab w:val="left" w:pos="-1440"/>
        </w:tabs>
        <w:spacing w:line="480" w:lineRule="auto"/>
        <w:jc w:val="both"/>
      </w:pPr>
    </w:p>
    <w:p w14:paraId="5DC6E137" w14:textId="77777777" w:rsidR="002B485C" w:rsidRDefault="002B485C" w:rsidP="005D2BD5">
      <w:pPr>
        <w:tabs>
          <w:tab w:val="left" w:pos="-1440"/>
        </w:tabs>
        <w:spacing w:line="480" w:lineRule="auto"/>
        <w:jc w:val="both"/>
      </w:pPr>
      <w:r>
        <w:rPr>
          <w:b/>
          <w:bCs/>
        </w:rPr>
        <w:t xml:space="preserve">AND WHEREAS </w:t>
      </w:r>
      <w:r>
        <w:t xml:space="preserve">the Claimant is a </w:t>
      </w:r>
      <w:r w:rsidR="00852940">
        <w:t>Protected Party</w:t>
      </w:r>
      <w:r>
        <w:t xml:space="preserve"> and brings the Claim by his </w:t>
      </w:r>
      <w:r w:rsidR="00D50C5C">
        <w:t>Wife</w:t>
      </w:r>
      <w:r>
        <w:t xml:space="preserve"> and Litigation Friend, </w:t>
      </w:r>
      <w:proofErr w:type="spellStart"/>
      <w:r w:rsidR="00403C0B">
        <w:t>XMC</w:t>
      </w:r>
      <w:proofErr w:type="spellEnd"/>
    </w:p>
    <w:p w14:paraId="31BAF663" w14:textId="77777777" w:rsidR="002B485C" w:rsidRDefault="002B485C" w:rsidP="005D2BD5">
      <w:pPr>
        <w:tabs>
          <w:tab w:val="left" w:pos="-1440"/>
        </w:tabs>
        <w:spacing w:line="480" w:lineRule="auto"/>
        <w:jc w:val="both"/>
      </w:pPr>
    </w:p>
    <w:p w14:paraId="6C8B1405" w14:textId="77777777" w:rsidR="002B485C" w:rsidRDefault="002B485C" w:rsidP="005D2BD5">
      <w:pPr>
        <w:tabs>
          <w:tab w:val="left" w:pos="-1440"/>
        </w:tabs>
        <w:spacing w:line="480" w:lineRule="auto"/>
        <w:jc w:val="both"/>
      </w:pPr>
      <w:r>
        <w:rPr>
          <w:b/>
          <w:bCs/>
        </w:rPr>
        <w:t xml:space="preserve">AND WHEREAS </w:t>
      </w:r>
      <w:r>
        <w:t>the National Health Service Litigation Authority (“NHS</w:t>
      </w:r>
      <w:r w:rsidR="00A84FC6">
        <w:t xml:space="preserve"> </w:t>
      </w:r>
      <w:r>
        <w:t xml:space="preserve">LA”) shall be responsible for and make the payments set out in the Schedule to this Order and for the benefit of the Claimant (referred to </w:t>
      </w:r>
      <w:r w:rsidR="008B7AA6">
        <w:t>below as “periodical payments”)</w:t>
      </w:r>
    </w:p>
    <w:p w14:paraId="2E8BFEC6" w14:textId="77777777" w:rsidR="002B485C" w:rsidRDefault="002B485C" w:rsidP="005D2BD5">
      <w:pPr>
        <w:tabs>
          <w:tab w:val="left" w:pos="-1440"/>
        </w:tabs>
        <w:spacing w:line="480" w:lineRule="auto"/>
        <w:jc w:val="both"/>
      </w:pPr>
    </w:p>
    <w:p w14:paraId="4BB9CE9E" w14:textId="77777777" w:rsidR="002B485C" w:rsidRDefault="002B485C" w:rsidP="005D2BD5">
      <w:pPr>
        <w:tabs>
          <w:tab w:val="left" w:pos="-1440"/>
        </w:tabs>
        <w:spacing w:line="480" w:lineRule="auto"/>
        <w:jc w:val="both"/>
      </w:pPr>
      <w:r>
        <w:rPr>
          <w:b/>
          <w:bCs/>
        </w:rPr>
        <w:t xml:space="preserve">AND WHEREAS </w:t>
      </w:r>
      <w:r>
        <w:t>the NHS</w:t>
      </w:r>
      <w:r w:rsidR="00A84FC6">
        <w:t xml:space="preserve"> </w:t>
      </w:r>
      <w:r>
        <w:t>LA has entered into an agreement with the Defendant which permits the NHS</w:t>
      </w:r>
      <w:r w:rsidR="00A84FC6">
        <w:t xml:space="preserve"> </w:t>
      </w:r>
      <w:r>
        <w:t>LA to be responsible for and make the perio</w:t>
      </w:r>
      <w:r w:rsidR="008B7AA6">
        <w:t>dical payments under this Order</w:t>
      </w:r>
    </w:p>
    <w:p w14:paraId="32385153" w14:textId="77777777" w:rsidR="002B485C" w:rsidRDefault="002B485C" w:rsidP="005D2BD5">
      <w:pPr>
        <w:tabs>
          <w:tab w:val="left" w:pos="-1440"/>
        </w:tabs>
        <w:spacing w:line="480" w:lineRule="auto"/>
        <w:jc w:val="both"/>
      </w:pPr>
    </w:p>
    <w:p w14:paraId="3594B365" w14:textId="77777777" w:rsidR="002B485C" w:rsidRDefault="002B485C" w:rsidP="005D2BD5">
      <w:pPr>
        <w:tabs>
          <w:tab w:val="left" w:pos="-1440"/>
        </w:tabs>
        <w:spacing w:line="480" w:lineRule="auto"/>
        <w:jc w:val="both"/>
      </w:pPr>
      <w:r>
        <w:rPr>
          <w:b/>
          <w:bCs/>
        </w:rPr>
        <w:t xml:space="preserve">AND WHEREAS </w:t>
      </w:r>
      <w:r>
        <w:t>the NHS</w:t>
      </w:r>
      <w:r w:rsidR="00A84FC6">
        <w:t xml:space="preserve"> </w:t>
      </w:r>
      <w:r>
        <w:t xml:space="preserve">LA is a Special Health Authority within the meaning of </w:t>
      </w:r>
      <w:r w:rsidR="00963DCA">
        <w:t xml:space="preserve">section 70 of </w:t>
      </w:r>
      <w:r>
        <w:t xml:space="preserve">the National Health Service </w:t>
      </w:r>
      <w:r w:rsidR="00963DCA">
        <w:t>Act 200</w:t>
      </w:r>
      <w:r w:rsidR="008B7AA6">
        <w:t>6</w:t>
      </w:r>
    </w:p>
    <w:p w14:paraId="24B30628" w14:textId="77777777" w:rsidR="002B485C" w:rsidRDefault="002B485C" w:rsidP="005D2BD5">
      <w:pPr>
        <w:tabs>
          <w:tab w:val="left" w:pos="-1440"/>
        </w:tabs>
        <w:spacing w:line="480" w:lineRule="auto"/>
        <w:jc w:val="both"/>
      </w:pPr>
    </w:p>
    <w:p w14:paraId="02FFE58E" w14:textId="77777777" w:rsidR="002B485C" w:rsidRDefault="002B485C" w:rsidP="005D2BD5">
      <w:pPr>
        <w:tabs>
          <w:tab w:val="left" w:pos="-1440"/>
        </w:tabs>
        <w:spacing w:line="480" w:lineRule="auto"/>
        <w:jc w:val="both"/>
      </w:pPr>
      <w:r>
        <w:rPr>
          <w:b/>
          <w:bCs/>
        </w:rPr>
        <w:t xml:space="preserve">AND WHEREAS </w:t>
      </w:r>
      <w:r>
        <w:t>the Defendant and the NHS</w:t>
      </w:r>
      <w:r w:rsidR="00A84FC6">
        <w:t xml:space="preserve"> </w:t>
      </w:r>
      <w:r>
        <w:t>LA agree with the Claimant that in the event of any failure to make the periodical payments or any alteration in the method or change in the identity of the source of payment the same shall give rise to a direct right of the Claimant to enforce the Order and all rights arising under it against the NHS</w:t>
      </w:r>
      <w:r w:rsidR="00A84FC6">
        <w:t xml:space="preserve"> </w:t>
      </w:r>
      <w:r>
        <w:t>LA in consideration of the Claimant agreeing to the</w:t>
      </w:r>
      <w:r w:rsidR="008B7AA6">
        <w:t xml:space="preserve"> terms of this Order</w:t>
      </w:r>
    </w:p>
    <w:p w14:paraId="2E1634D4" w14:textId="77777777" w:rsidR="00852940" w:rsidRDefault="00852940" w:rsidP="005D2BD5">
      <w:pPr>
        <w:tabs>
          <w:tab w:val="left" w:pos="-1440"/>
        </w:tabs>
        <w:spacing w:line="480" w:lineRule="auto"/>
        <w:jc w:val="both"/>
      </w:pPr>
    </w:p>
    <w:p w14:paraId="24F5845C" w14:textId="77777777" w:rsidR="00BF5BDC" w:rsidRPr="009911CD" w:rsidRDefault="00BF5BDC" w:rsidP="00BF5BDC">
      <w:pPr>
        <w:spacing w:line="480" w:lineRule="auto"/>
        <w:jc w:val="both"/>
      </w:pPr>
      <w:r w:rsidRPr="009911CD">
        <w:rPr>
          <w:b/>
          <w:bCs/>
        </w:rPr>
        <w:t>AND UPON READING</w:t>
      </w:r>
      <w:r w:rsidRPr="009911CD">
        <w:t xml:space="preserve"> the </w:t>
      </w:r>
      <w:r w:rsidR="00403C0B">
        <w:t xml:space="preserve">Privileged </w:t>
      </w:r>
      <w:r w:rsidRPr="009911CD">
        <w:t xml:space="preserve">Advice from Counsel for the Claimant dated </w:t>
      </w:r>
      <w:r w:rsidR="006D4B98">
        <w:t>23 September 2021</w:t>
      </w:r>
      <w:r w:rsidRPr="009911CD">
        <w:t xml:space="preserve"> </w:t>
      </w:r>
      <w:r w:rsidR="00403C0B">
        <w:t>and the report of Steven Balmer, Financial Planner dated 3 August 2021.</w:t>
      </w:r>
    </w:p>
    <w:p w14:paraId="79E371A5" w14:textId="77777777" w:rsidR="002B485C" w:rsidRDefault="002B485C" w:rsidP="005D2BD5">
      <w:pPr>
        <w:tabs>
          <w:tab w:val="left" w:pos="-1440"/>
        </w:tabs>
        <w:spacing w:line="480" w:lineRule="auto"/>
        <w:jc w:val="both"/>
      </w:pPr>
    </w:p>
    <w:p w14:paraId="258BB7EF" w14:textId="77777777" w:rsidR="002B485C" w:rsidRDefault="002B485C" w:rsidP="005D2BD5">
      <w:pPr>
        <w:tabs>
          <w:tab w:val="left" w:pos="-1440"/>
        </w:tabs>
        <w:spacing w:line="480" w:lineRule="auto"/>
        <w:jc w:val="both"/>
      </w:pPr>
      <w:r>
        <w:rPr>
          <w:b/>
          <w:bCs/>
        </w:rPr>
        <w:t xml:space="preserve">AND UPON </w:t>
      </w:r>
      <w:r>
        <w:t>the Court being satisfied that:</w:t>
      </w:r>
    </w:p>
    <w:p w14:paraId="7C1C225D" w14:textId="77777777" w:rsidR="002B485C" w:rsidRDefault="002B485C" w:rsidP="005D2BD5">
      <w:pPr>
        <w:tabs>
          <w:tab w:val="left" w:pos="-1440"/>
        </w:tabs>
        <w:spacing w:line="480" w:lineRule="auto"/>
        <w:jc w:val="both"/>
      </w:pPr>
    </w:p>
    <w:p w14:paraId="5E5F421E" w14:textId="77777777" w:rsidR="002B485C" w:rsidRDefault="002B485C" w:rsidP="005D2BD5">
      <w:pPr>
        <w:widowControl w:val="0"/>
        <w:numPr>
          <w:ilvl w:val="0"/>
          <w:numId w:val="1"/>
        </w:numPr>
        <w:tabs>
          <w:tab w:val="clear" w:pos="1080"/>
          <w:tab w:val="left" w:pos="-1440"/>
          <w:tab w:val="num" w:pos="709"/>
        </w:tabs>
        <w:autoSpaceDE w:val="0"/>
        <w:autoSpaceDN w:val="0"/>
        <w:adjustRightInd w:val="0"/>
        <w:spacing w:line="480" w:lineRule="auto"/>
        <w:ind w:left="709" w:hanging="709"/>
        <w:jc w:val="both"/>
      </w:pPr>
      <w:r>
        <w:t>The continuity of payment under the Order is reasonably secure pursuant to section 2(3) of the Damages Act 1996 and/or pursuant to section 2(4)(c) of the Damages Act 1996 and under the terms</w:t>
      </w:r>
      <w:r w:rsidR="008B7AA6">
        <w:t xml:space="preserve"> of the Order as herein set out</w:t>
      </w:r>
    </w:p>
    <w:p w14:paraId="07786E51" w14:textId="77777777" w:rsidR="002B485C" w:rsidRDefault="002B485C" w:rsidP="005D2BD5">
      <w:pPr>
        <w:tabs>
          <w:tab w:val="left" w:pos="-1440"/>
        </w:tabs>
        <w:spacing w:line="480" w:lineRule="auto"/>
        <w:jc w:val="both"/>
      </w:pPr>
    </w:p>
    <w:p w14:paraId="322CBEBE" w14:textId="77777777" w:rsidR="002B485C" w:rsidRDefault="002B485C" w:rsidP="005D2BD5">
      <w:pPr>
        <w:widowControl w:val="0"/>
        <w:numPr>
          <w:ilvl w:val="0"/>
          <w:numId w:val="1"/>
        </w:numPr>
        <w:tabs>
          <w:tab w:val="clear" w:pos="1080"/>
          <w:tab w:val="left" w:pos="-1440"/>
          <w:tab w:val="num" w:pos="709"/>
        </w:tabs>
        <w:autoSpaceDE w:val="0"/>
        <w:autoSpaceDN w:val="0"/>
        <w:adjustRightInd w:val="0"/>
        <w:spacing w:line="480" w:lineRule="auto"/>
        <w:ind w:left="709" w:hanging="709"/>
        <w:jc w:val="both"/>
      </w:pPr>
      <w:r>
        <w:t>The periodical payments are to be paid free of taxation under section 731-734 of the Income Tax (Tra</w:t>
      </w:r>
      <w:r w:rsidR="008B7AA6">
        <w:t>ding and Other Income) Act 2005</w:t>
      </w:r>
    </w:p>
    <w:p w14:paraId="799E4407" w14:textId="77777777" w:rsidR="005D2BD5" w:rsidRDefault="005D2BD5" w:rsidP="005D2BD5">
      <w:pPr>
        <w:widowControl w:val="0"/>
        <w:tabs>
          <w:tab w:val="left" w:pos="-1440"/>
        </w:tabs>
        <w:autoSpaceDE w:val="0"/>
        <w:autoSpaceDN w:val="0"/>
        <w:adjustRightInd w:val="0"/>
        <w:spacing w:line="480" w:lineRule="auto"/>
        <w:jc w:val="both"/>
      </w:pPr>
    </w:p>
    <w:p w14:paraId="47A4CBE9" w14:textId="77777777" w:rsidR="002B485C" w:rsidRDefault="009B61DC" w:rsidP="005D2BD5">
      <w:pPr>
        <w:widowControl w:val="0"/>
        <w:numPr>
          <w:ilvl w:val="0"/>
          <w:numId w:val="1"/>
        </w:numPr>
        <w:tabs>
          <w:tab w:val="clear" w:pos="1080"/>
          <w:tab w:val="left" w:pos="-1440"/>
          <w:tab w:val="num" w:pos="709"/>
        </w:tabs>
        <w:autoSpaceDE w:val="0"/>
        <w:autoSpaceDN w:val="0"/>
        <w:adjustRightInd w:val="0"/>
        <w:spacing w:line="480" w:lineRule="auto"/>
        <w:ind w:left="709" w:hanging="709"/>
        <w:jc w:val="both"/>
      </w:pPr>
      <w:r>
        <w:t>T</w:t>
      </w:r>
      <w:r w:rsidR="002B485C">
        <w:t>he Order set out below is agreed by the Claimant and the Defendant as being the pr</w:t>
      </w:r>
      <w:r w:rsidR="008B7AA6">
        <w:t>eferred Order that should apply</w:t>
      </w:r>
    </w:p>
    <w:p w14:paraId="182F7DCB" w14:textId="77777777" w:rsidR="009B61DC" w:rsidRDefault="009B61DC" w:rsidP="009B61DC">
      <w:pPr>
        <w:widowControl w:val="0"/>
        <w:tabs>
          <w:tab w:val="left" w:pos="-1440"/>
        </w:tabs>
        <w:autoSpaceDE w:val="0"/>
        <w:autoSpaceDN w:val="0"/>
        <w:adjustRightInd w:val="0"/>
        <w:spacing w:line="480" w:lineRule="auto"/>
        <w:jc w:val="both"/>
      </w:pPr>
    </w:p>
    <w:p w14:paraId="70F9878B" w14:textId="77777777" w:rsidR="009B61DC" w:rsidRDefault="009B61DC" w:rsidP="005D2BD5">
      <w:pPr>
        <w:widowControl w:val="0"/>
        <w:numPr>
          <w:ilvl w:val="0"/>
          <w:numId w:val="1"/>
        </w:numPr>
        <w:tabs>
          <w:tab w:val="clear" w:pos="1080"/>
          <w:tab w:val="left" w:pos="-1440"/>
          <w:tab w:val="num" w:pos="709"/>
        </w:tabs>
        <w:autoSpaceDE w:val="0"/>
        <w:autoSpaceDN w:val="0"/>
        <w:adjustRightInd w:val="0"/>
        <w:spacing w:line="480" w:lineRule="auto"/>
        <w:ind w:left="709" w:hanging="709"/>
        <w:jc w:val="both"/>
      </w:pPr>
      <w:r>
        <w:t>The form of the Order is that which best meets the Claimant’s needs</w:t>
      </w:r>
      <w:r w:rsidR="008B7AA6">
        <w:t xml:space="preserve"> and CPR 21 and 41 have been complied with</w:t>
      </w:r>
    </w:p>
    <w:p w14:paraId="2FD1E58B" w14:textId="77777777" w:rsidR="002B485C" w:rsidRDefault="002B485C" w:rsidP="005D2BD5">
      <w:pPr>
        <w:tabs>
          <w:tab w:val="left" w:pos="-1440"/>
        </w:tabs>
        <w:spacing w:line="480" w:lineRule="auto"/>
        <w:jc w:val="both"/>
      </w:pPr>
    </w:p>
    <w:p w14:paraId="225FDDB0" w14:textId="77777777" w:rsidR="002B485C" w:rsidRDefault="002B485C" w:rsidP="005D2BD5">
      <w:pPr>
        <w:tabs>
          <w:tab w:val="left" w:pos="-1440"/>
        </w:tabs>
        <w:spacing w:line="480" w:lineRule="auto"/>
        <w:jc w:val="both"/>
      </w:pPr>
      <w:r>
        <w:rPr>
          <w:b/>
          <w:bCs/>
        </w:rPr>
        <w:t xml:space="preserve">AND UPON </w:t>
      </w:r>
      <w:r>
        <w:t>the Claimant having given the foll</w:t>
      </w:r>
      <w:r w:rsidR="008B7AA6">
        <w:t>owing undertakings to the Court</w:t>
      </w:r>
    </w:p>
    <w:p w14:paraId="52C87AC2" w14:textId="77777777" w:rsidR="002B485C" w:rsidRDefault="002B485C" w:rsidP="005D2BD5">
      <w:pPr>
        <w:tabs>
          <w:tab w:val="left" w:pos="-1440"/>
        </w:tabs>
        <w:spacing w:line="480" w:lineRule="auto"/>
        <w:jc w:val="both"/>
      </w:pPr>
    </w:p>
    <w:p w14:paraId="701A4BCD" w14:textId="77777777" w:rsidR="002B485C" w:rsidRDefault="002B485C" w:rsidP="005D2BD5">
      <w:pPr>
        <w:widowControl w:val="0"/>
        <w:numPr>
          <w:ilvl w:val="0"/>
          <w:numId w:val="2"/>
        </w:numPr>
        <w:tabs>
          <w:tab w:val="left" w:pos="-1440"/>
        </w:tabs>
        <w:autoSpaceDE w:val="0"/>
        <w:autoSpaceDN w:val="0"/>
        <w:adjustRightInd w:val="0"/>
        <w:spacing w:line="480" w:lineRule="auto"/>
        <w:ind w:hanging="720"/>
        <w:jc w:val="both"/>
      </w:pPr>
      <w:r>
        <w:t xml:space="preserve">A </w:t>
      </w:r>
      <w:r w:rsidR="006224B1">
        <w:t>Deputy</w:t>
      </w:r>
      <w:r w:rsidR="00D50C5C">
        <w:t xml:space="preserve">, Irwin Mitchell </w:t>
      </w:r>
      <w:r w:rsidR="00190C74">
        <w:t>Trust Corporation</w:t>
      </w:r>
      <w:r>
        <w:t xml:space="preserve"> has been appointed for the Claima</w:t>
      </w:r>
      <w:r w:rsidR="002556F6">
        <w:t>nt</w:t>
      </w:r>
      <w:r w:rsidR="006224B1">
        <w:t xml:space="preserve"> </w:t>
      </w:r>
    </w:p>
    <w:p w14:paraId="3BDAE3D2" w14:textId="77777777" w:rsidR="002B485C" w:rsidRDefault="002B485C" w:rsidP="005D2BD5">
      <w:pPr>
        <w:tabs>
          <w:tab w:val="left" w:pos="-1440"/>
        </w:tabs>
        <w:spacing w:line="480" w:lineRule="auto"/>
        <w:jc w:val="both"/>
      </w:pPr>
    </w:p>
    <w:p w14:paraId="5762BBF1" w14:textId="77777777" w:rsidR="002B485C" w:rsidRDefault="002B485C" w:rsidP="005D2BD5">
      <w:pPr>
        <w:widowControl w:val="0"/>
        <w:numPr>
          <w:ilvl w:val="0"/>
          <w:numId w:val="2"/>
        </w:numPr>
        <w:tabs>
          <w:tab w:val="left" w:pos="-1440"/>
        </w:tabs>
        <w:autoSpaceDE w:val="0"/>
        <w:autoSpaceDN w:val="0"/>
        <w:adjustRightInd w:val="0"/>
        <w:spacing w:line="480" w:lineRule="auto"/>
        <w:ind w:hanging="720"/>
        <w:jc w:val="both"/>
      </w:pPr>
      <w:r>
        <w:t xml:space="preserve">The Claimant whether acting by his Litigation Friend or his </w:t>
      </w:r>
      <w:r w:rsidR="00B64EA1">
        <w:t>Deputy</w:t>
      </w:r>
      <w:r>
        <w:t xml:space="preserve"> will take all necessary steps to seek to stay the </w:t>
      </w:r>
      <w:r w:rsidR="0043312A">
        <w:t>C</w:t>
      </w:r>
      <w:r>
        <w:t>laim and any proceedings which have begun or have been threatened against the Defenda</w:t>
      </w:r>
      <w:r w:rsidR="008B7AA6">
        <w:t>nt in connection with the Claim</w:t>
      </w:r>
    </w:p>
    <w:p w14:paraId="01D0DF6D" w14:textId="77777777" w:rsidR="002B485C" w:rsidRDefault="002B485C" w:rsidP="005D2BD5">
      <w:pPr>
        <w:tabs>
          <w:tab w:val="left" w:pos="-1440"/>
        </w:tabs>
        <w:spacing w:line="480" w:lineRule="auto"/>
        <w:jc w:val="both"/>
      </w:pPr>
    </w:p>
    <w:p w14:paraId="45180807" w14:textId="77777777" w:rsidR="002B485C" w:rsidRDefault="002B485C" w:rsidP="005D2BD5">
      <w:pPr>
        <w:widowControl w:val="0"/>
        <w:numPr>
          <w:ilvl w:val="0"/>
          <w:numId w:val="2"/>
        </w:numPr>
        <w:tabs>
          <w:tab w:val="left" w:pos="-1440"/>
        </w:tabs>
        <w:autoSpaceDE w:val="0"/>
        <w:autoSpaceDN w:val="0"/>
        <w:adjustRightInd w:val="0"/>
        <w:spacing w:line="480" w:lineRule="auto"/>
        <w:ind w:hanging="720"/>
        <w:jc w:val="both"/>
      </w:pPr>
      <w:r>
        <w:t xml:space="preserve">The Claimant, his Litigation Friend and/or his </w:t>
      </w:r>
      <w:r w:rsidR="00B64EA1">
        <w:t>Deputy</w:t>
      </w:r>
      <w:r>
        <w:t xml:space="preserve"> will not institute any proceedings against the Defendant or any other party or person whomsoever in connection with the Claim save by w</w:t>
      </w:r>
      <w:r w:rsidR="008B7AA6">
        <w:t>ay of enforcement of this Order</w:t>
      </w:r>
    </w:p>
    <w:p w14:paraId="45F8CD8F" w14:textId="77777777" w:rsidR="008B7AA6" w:rsidRDefault="008B7AA6" w:rsidP="008B7AA6">
      <w:pPr>
        <w:widowControl w:val="0"/>
        <w:tabs>
          <w:tab w:val="left" w:pos="-1440"/>
        </w:tabs>
        <w:autoSpaceDE w:val="0"/>
        <w:autoSpaceDN w:val="0"/>
        <w:adjustRightInd w:val="0"/>
        <w:spacing w:line="480" w:lineRule="auto"/>
        <w:jc w:val="both"/>
      </w:pPr>
    </w:p>
    <w:p w14:paraId="74F2CFB2" w14:textId="77777777" w:rsidR="008B7AA6" w:rsidRDefault="008B7AA6" w:rsidP="008B7AA6">
      <w:pPr>
        <w:widowControl w:val="0"/>
        <w:tabs>
          <w:tab w:val="left" w:pos="-1440"/>
        </w:tabs>
        <w:autoSpaceDE w:val="0"/>
        <w:autoSpaceDN w:val="0"/>
        <w:adjustRightInd w:val="0"/>
        <w:spacing w:line="480" w:lineRule="auto"/>
        <w:jc w:val="both"/>
        <w:rPr>
          <w:i/>
        </w:rPr>
      </w:pPr>
    </w:p>
    <w:p w14:paraId="2216DD52" w14:textId="77777777" w:rsidR="008B7AA6" w:rsidRPr="008B7AA6" w:rsidRDefault="008B7AA6" w:rsidP="008B7AA6">
      <w:pPr>
        <w:widowControl w:val="0"/>
        <w:tabs>
          <w:tab w:val="left" w:pos="-1440"/>
        </w:tabs>
        <w:autoSpaceDE w:val="0"/>
        <w:autoSpaceDN w:val="0"/>
        <w:adjustRightInd w:val="0"/>
        <w:spacing w:line="480" w:lineRule="auto"/>
        <w:jc w:val="both"/>
      </w:pPr>
      <w:r w:rsidRPr="008B7AA6">
        <w:rPr>
          <w:b/>
        </w:rPr>
        <w:t>AND UPON</w:t>
      </w:r>
      <w:r>
        <w:t xml:space="preserve"> the parties having agreed in full and final settlement of the claim that the Defendant shall pay to the Claimant the sum of £</w:t>
      </w:r>
      <w:r w:rsidR="00D50C5C">
        <w:t>2,150,000</w:t>
      </w:r>
      <w:r>
        <w:t xml:space="preserve"> (</w:t>
      </w:r>
      <w:r w:rsidR="00D50C5C">
        <w:t xml:space="preserve">two million, one hundred and </w:t>
      </w:r>
      <w:r w:rsidR="00D50C5C">
        <w:lastRenderedPageBreak/>
        <w:t>fifty thousand pounds)</w:t>
      </w:r>
      <w:r>
        <w:t xml:space="preserve"> inclusive of interim payments of £</w:t>
      </w:r>
      <w:r w:rsidR="00D50C5C">
        <w:t>500,000</w:t>
      </w:r>
      <w:r>
        <w:t xml:space="preserve"> (</w:t>
      </w:r>
      <w:r w:rsidR="00D50C5C">
        <w:t>five hundred thousand pounds</w:t>
      </w:r>
      <w:r>
        <w:t>) and CRU of £</w:t>
      </w:r>
      <w:r w:rsidR="00D50C5C">
        <w:t>19,509.97</w:t>
      </w:r>
      <w:r>
        <w:t xml:space="preserve"> (</w:t>
      </w:r>
      <w:r w:rsidR="00D50C5C">
        <w:t>nineteen thousand, five hundred and nine pounds and ninety seven pence</w:t>
      </w:r>
      <w:r>
        <w:t xml:space="preserve">) and interest to 28 days after the </w:t>
      </w:r>
      <w:r w:rsidR="000617D0">
        <w:t xml:space="preserve">date </w:t>
      </w:r>
      <w:r>
        <w:t xml:space="preserve">of the </w:t>
      </w:r>
      <w:r w:rsidR="0043312A">
        <w:t>O</w:t>
      </w:r>
      <w:r>
        <w:t>rder approving the agreement together with the periodical payments contained in the Schedule annexed to this Order</w:t>
      </w:r>
    </w:p>
    <w:p w14:paraId="62355DCA" w14:textId="77777777" w:rsidR="002B485C" w:rsidRDefault="002B485C" w:rsidP="005D2BD5">
      <w:pPr>
        <w:widowControl w:val="0"/>
        <w:tabs>
          <w:tab w:val="left" w:pos="-1440"/>
        </w:tabs>
        <w:autoSpaceDE w:val="0"/>
        <w:autoSpaceDN w:val="0"/>
        <w:adjustRightInd w:val="0"/>
        <w:spacing w:line="480" w:lineRule="auto"/>
        <w:jc w:val="both"/>
      </w:pPr>
    </w:p>
    <w:p w14:paraId="345C07C5" w14:textId="77777777" w:rsidR="00EC4A72" w:rsidRDefault="002B485C" w:rsidP="00852940">
      <w:pPr>
        <w:tabs>
          <w:tab w:val="left" w:pos="-1440"/>
        </w:tabs>
        <w:spacing w:line="480" w:lineRule="auto"/>
        <w:jc w:val="both"/>
      </w:pPr>
      <w:r>
        <w:rPr>
          <w:b/>
          <w:bCs/>
        </w:rPr>
        <w:t xml:space="preserve">AND UPON </w:t>
      </w:r>
      <w:r>
        <w:t>the Court having approved the terms of this Order and the</w:t>
      </w:r>
      <w:r w:rsidR="00EC4A72">
        <w:t xml:space="preserve"> Schedule annexed to this Order</w:t>
      </w:r>
    </w:p>
    <w:p w14:paraId="49A2CDEF" w14:textId="77777777" w:rsidR="002B485C" w:rsidRDefault="00EC4A72" w:rsidP="009B61DC">
      <w:pPr>
        <w:tabs>
          <w:tab w:val="left" w:pos="-1440"/>
        </w:tabs>
        <w:spacing w:line="480" w:lineRule="auto"/>
        <w:jc w:val="both"/>
      </w:pPr>
      <w:r>
        <w:br w:type="page"/>
      </w:r>
      <w:r w:rsidR="007D19E0" w:rsidRPr="007D19E0">
        <w:rPr>
          <w:b/>
        </w:rPr>
        <w:lastRenderedPageBreak/>
        <w:t>BY CONSENT</w:t>
      </w:r>
    </w:p>
    <w:p w14:paraId="05C31A9A" w14:textId="77777777" w:rsidR="002B485C" w:rsidRDefault="002B485C" w:rsidP="005D2BD5">
      <w:pPr>
        <w:tabs>
          <w:tab w:val="left" w:pos="-1440"/>
        </w:tabs>
        <w:spacing w:line="480" w:lineRule="auto"/>
        <w:ind w:left="851"/>
        <w:jc w:val="both"/>
      </w:pPr>
    </w:p>
    <w:p w14:paraId="28E03214" w14:textId="77777777" w:rsidR="009B61DC" w:rsidRDefault="009B61DC" w:rsidP="009B61DC">
      <w:pPr>
        <w:widowControl w:val="0"/>
        <w:numPr>
          <w:ilvl w:val="1"/>
          <w:numId w:val="1"/>
        </w:numPr>
        <w:tabs>
          <w:tab w:val="clear" w:pos="1800"/>
          <w:tab w:val="left" w:pos="-1440"/>
          <w:tab w:val="num" w:pos="851"/>
        </w:tabs>
        <w:autoSpaceDE w:val="0"/>
        <w:autoSpaceDN w:val="0"/>
        <w:adjustRightInd w:val="0"/>
        <w:spacing w:line="480" w:lineRule="auto"/>
        <w:ind w:left="851" w:hanging="851"/>
        <w:jc w:val="both"/>
      </w:pPr>
      <w:r>
        <w:rPr>
          <w:b/>
          <w:bCs/>
        </w:rPr>
        <w:t xml:space="preserve">IT IS ORDERED </w:t>
      </w:r>
      <w:r>
        <w:t>that the Defendant shall make payments to or for the benefit of the Claimant as follows in full an</w:t>
      </w:r>
      <w:r w:rsidR="00EC4A72">
        <w:t>d final settlement of the claim</w:t>
      </w:r>
    </w:p>
    <w:p w14:paraId="3BEE0295" w14:textId="77777777" w:rsidR="009B61DC" w:rsidRDefault="009B61DC" w:rsidP="009B61DC">
      <w:pPr>
        <w:spacing w:line="480" w:lineRule="auto"/>
        <w:ind w:left="720" w:hanging="720"/>
        <w:jc w:val="both"/>
      </w:pPr>
    </w:p>
    <w:p w14:paraId="34E5D563" w14:textId="77777777" w:rsidR="0029626F" w:rsidRDefault="000617D0" w:rsidP="0029626F">
      <w:pPr>
        <w:spacing w:line="480" w:lineRule="auto"/>
        <w:ind w:left="720"/>
        <w:jc w:val="both"/>
      </w:pPr>
      <w:r>
        <w:t>(a)</w:t>
      </w:r>
      <w:r>
        <w:tab/>
        <w:t xml:space="preserve">By the </w:t>
      </w:r>
      <w:r w:rsidR="00991069">
        <w:t>1st</w:t>
      </w:r>
      <w:r>
        <w:t xml:space="preserve"> of </w:t>
      </w:r>
      <w:r w:rsidR="00991069">
        <w:t>November 2021</w:t>
      </w:r>
      <w:r w:rsidR="009B61DC">
        <w:t xml:space="preserve"> the Defendant shall pay</w:t>
      </w:r>
      <w:r w:rsidR="00EC4A72">
        <w:t xml:space="preserve"> (having taken into account any interim payments and/or CRU</w:t>
      </w:r>
      <w:r w:rsidR="00136EF8">
        <w:t xml:space="preserve"> and/or interest to that date</w:t>
      </w:r>
      <w:r w:rsidR="00EC4A72">
        <w:t>)</w:t>
      </w:r>
      <w:r w:rsidR="009B61DC">
        <w:t xml:space="preserve"> the sum of £</w:t>
      </w:r>
      <w:r w:rsidR="00403C0B">
        <w:t>1,351,930.03 (one million, three hundred and fifty one thousand, nine hundred and thirty pounds and three pence) into the Account of the Deputy (Irwin Mitchell Trust Corporation as Deputy for</w:t>
      </w:r>
      <w:r w:rsidR="00FA6BA0">
        <w:t xml:space="preserve"> </w:t>
      </w:r>
      <w:proofErr w:type="spellStart"/>
      <w:r w:rsidR="00FA6BA0">
        <w:t>XSC</w:t>
      </w:r>
      <w:proofErr w:type="spellEnd"/>
      <w:r w:rsidR="00403C0B">
        <w:t xml:space="preserve"> Account number </w:t>
      </w:r>
      <w:r w:rsidR="001067FC" w:rsidRPr="001067FC">
        <w:t>7068 4160</w:t>
      </w:r>
      <w:r w:rsidR="00403C0B">
        <w:t>, sort code</w:t>
      </w:r>
      <w:r w:rsidR="001067FC">
        <w:t xml:space="preserve"> </w:t>
      </w:r>
      <w:r w:rsidR="001067FC" w:rsidRPr="001067FC">
        <w:t>30-97-51</w:t>
      </w:r>
      <w:r w:rsidR="00403C0B">
        <w:t xml:space="preserve">) </w:t>
      </w:r>
      <w:r w:rsidR="0029626F">
        <w:t xml:space="preserve">which sum shall be there to be dealt with as a fund of a protected beneficiary and as the Deputy in </w:t>
      </w:r>
      <w:r w:rsidR="00403C0B">
        <w:t xml:space="preserve">their </w:t>
      </w:r>
      <w:r w:rsidR="00A84FC6">
        <w:t>discretion shall think fit</w:t>
      </w:r>
    </w:p>
    <w:p w14:paraId="703806D6" w14:textId="77777777" w:rsidR="0029626F" w:rsidRDefault="0029626F" w:rsidP="0029626F">
      <w:pPr>
        <w:spacing w:line="480" w:lineRule="auto"/>
        <w:ind w:left="720"/>
        <w:jc w:val="both"/>
      </w:pPr>
    </w:p>
    <w:p w14:paraId="306B31B6" w14:textId="77777777" w:rsidR="009B61DC" w:rsidRDefault="009B61DC" w:rsidP="009B61DC">
      <w:pPr>
        <w:spacing w:line="480" w:lineRule="auto"/>
        <w:ind w:left="720" w:hanging="720"/>
        <w:jc w:val="both"/>
      </w:pPr>
    </w:p>
    <w:p w14:paraId="1B5ED13C" w14:textId="77777777" w:rsidR="0074097A" w:rsidRDefault="009B61DC">
      <w:pPr>
        <w:spacing w:line="480" w:lineRule="auto"/>
        <w:ind w:left="720" w:hanging="720"/>
        <w:jc w:val="both"/>
      </w:pPr>
      <w:r>
        <w:t>(b)</w:t>
      </w:r>
      <w:r>
        <w:tab/>
        <w:t>The Defendant shall pay to the Department of Work and Pensions the CRU benefits amounting to £</w:t>
      </w:r>
      <w:r w:rsidR="0074097A">
        <w:t>6,720.95</w:t>
      </w:r>
      <w:r>
        <w:t xml:space="preserve"> </w:t>
      </w:r>
      <w:r w:rsidR="00EC4A72">
        <w:t>(</w:t>
      </w:r>
      <w:r w:rsidR="0074097A">
        <w:t>six thousand seven hundred and twenty</w:t>
      </w:r>
      <w:r w:rsidR="00EC4A72">
        <w:t xml:space="preserve"> pounds and </w:t>
      </w:r>
      <w:r w:rsidR="0074097A">
        <w:t>ninety five</w:t>
      </w:r>
      <w:r w:rsidR="00EC4A72">
        <w:t xml:space="preserve"> pence)</w:t>
      </w:r>
      <w:r w:rsidR="0074097A">
        <w:t xml:space="preserve">, having </w:t>
      </w:r>
      <w:r w:rsidR="00190C74">
        <w:t xml:space="preserve">previously </w:t>
      </w:r>
      <w:r w:rsidR="0074097A">
        <w:t>paid CRU benefits totalling £12,789.02 (twelve thousand seven hundred and eighty nine pounds and two pence) to date.</w:t>
      </w:r>
    </w:p>
    <w:p w14:paraId="1F8DB487" w14:textId="77777777" w:rsidR="009B61DC" w:rsidRDefault="009B61DC" w:rsidP="009B61DC">
      <w:pPr>
        <w:spacing w:line="480" w:lineRule="auto"/>
        <w:ind w:left="720" w:hanging="720"/>
        <w:jc w:val="both"/>
      </w:pPr>
    </w:p>
    <w:p w14:paraId="1A536EB2" w14:textId="77777777" w:rsidR="00403C0B" w:rsidRDefault="00403C0B" w:rsidP="009B61DC">
      <w:pPr>
        <w:spacing w:line="480" w:lineRule="auto"/>
        <w:ind w:left="720" w:hanging="720"/>
        <w:jc w:val="both"/>
      </w:pPr>
      <w:r>
        <w:t>(c)</w:t>
      </w:r>
      <w:r>
        <w:tab/>
        <w:t>By the 1</w:t>
      </w:r>
      <w:r w:rsidRPr="0004140D">
        <w:rPr>
          <w:vertAlign w:val="superscript"/>
        </w:rPr>
        <w:t>st</w:t>
      </w:r>
      <w:r>
        <w:t xml:space="preserve"> November 2021 the Defendant shall pay to the Claimant’s solicitor the sum</w:t>
      </w:r>
      <w:r w:rsidR="005C011C">
        <w:t xml:space="preserve"> of £278,56</w:t>
      </w:r>
      <w:r>
        <w:t xml:space="preserve">0.00 (two hundred and </w:t>
      </w:r>
      <w:proofErr w:type="gramStart"/>
      <w:r>
        <w:t>seventy eight</w:t>
      </w:r>
      <w:proofErr w:type="gramEnd"/>
      <w:r>
        <w:t xml:space="preserve"> thousand, five hundred and </w:t>
      </w:r>
      <w:r w:rsidR="005C011C">
        <w:t>sixty</w:t>
      </w:r>
      <w:r>
        <w:t xml:space="preserve"> thousand pounds) of which:</w:t>
      </w:r>
    </w:p>
    <w:p w14:paraId="0DCA595D" w14:textId="77777777" w:rsidR="00403C0B" w:rsidRDefault="00403C0B" w:rsidP="009B61DC">
      <w:pPr>
        <w:spacing w:line="480" w:lineRule="auto"/>
        <w:ind w:left="720" w:hanging="720"/>
        <w:jc w:val="both"/>
      </w:pPr>
      <w:r>
        <w:tab/>
        <w:t>(i)</w:t>
      </w:r>
      <w:r>
        <w:tab/>
        <w:t xml:space="preserve">£65,000 </w:t>
      </w:r>
      <w:r w:rsidRPr="00403C0B">
        <w:t xml:space="preserve">(sixty five thousand pounds) which sum shall include interest thereon to 28 days after the date of this Order in respect of damages to be held on trust for the Claimant’s Wife and Litigation Friend in respect of past and future gratuitous care and </w:t>
      </w:r>
      <w:r w:rsidRPr="00403C0B">
        <w:lastRenderedPageBreak/>
        <w:t>then paid by the Claimant’s Solicitor to the Claimant’s Wife and Litigation Friend as soon as reasonably practicable.</w:t>
      </w:r>
    </w:p>
    <w:p w14:paraId="26D30F31" w14:textId="77777777" w:rsidR="00403C0B" w:rsidRDefault="00403C0B" w:rsidP="009B61DC">
      <w:pPr>
        <w:spacing w:line="480" w:lineRule="auto"/>
        <w:ind w:left="720" w:hanging="720"/>
        <w:jc w:val="both"/>
      </w:pPr>
    </w:p>
    <w:p w14:paraId="09FA8C71" w14:textId="77777777" w:rsidR="00403C0B" w:rsidRDefault="00403C0B" w:rsidP="00875DF1">
      <w:pPr>
        <w:spacing w:line="480" w:lineRule="auto"/>
        <w:ind w:left="720" w:hanging="720"/>
        <w:jc w:val="both"/>
      </w:pPr>
      <w:r>
        <w:tab/>
        <w:t>(ii)</w:t>
      </w:r>
      <w:r>
        <w:tab/>
      </w:r>
      <w:r w:rsidRPr="00403C0B">
        <w:t xml:space="preserve">£213,560.00 (two hundred and thirteen thousand, five hundred and sixty pounds) to be retained by the Claimant’s solicitor </w:t>
      </w:r>
      <w:r w:rsidR="00875DF1">
        <w:t xml:space="preserve">to be applied in respect of the Claimant’s After-the-Event insurance premium, success fee and legal costs </w:t>
      </w:r>
      <w:r w:rsidRPr="00403C0B">
        <w:t>pending resolution of the detailed assessment or approval of the costs issues.</w:t>
      </w:r>
    </w:p>
    <w:p w14:paraId="6BEA8305" w14:textId="77777777" w:rsidR="00457007" w:rsidRDefault="00457007" w:rsidP="009B61DC">
      <w:pPr>
        <w:spacing w:line="480" w:lineRule="auto"/>
        <w:ind w:left="720" w:hanging="720"/>
        <w:jc w:val="both"/>
      </w:pPr>
    </w:p>
    <w:p w14:paraId="1EB14AF5" w14:textId="77777777" w:rsidR="00F2416C" w:rsidRDefault="00457007" w:rsidP="00EC4A72">
      <w:pPr>
        <w:widowControl w:val="0"/>
        <w:tabs>
          <w:tab w:val="left" w:pos="-1440"/>
          <w:tab w:val="num" w:pos="1080"/>
        </w:tabs>
        <w:autoSpaceDE w:val="0"/>
        <w:autoSpaceDN w:val="0"/>
        <w:adjustRightInd w:val="0"/>
        <w:spacing w:line="480" w:lineRule="auto"/>
        <w:ind w:left="720" w:hanging="720"/>
        <w:jc w:val="both"/>
      </w:pPr>
      <w:r>
        <w:t>(</w:t>
      </w:r>
      <w:r w:rsidR="00403C0B">
        <w:t>d</w:t>
      </w:r>
      <w:r>
        <w:t>)</w:t>
      </w:r>
      <w:r>
        <w:tab/>
      </w:r>
      <w:r w:rsidRPr="004B72BE">
        <w:t>Further, the sums as specified in the attached Schedule be paid by the Defendant as stipulated in the Schedule and be funded in accordance with section 2 (4) (c) of the Damages Act 1996 with the sums payable to comprise damages for f</w:t>
      </w:r>
      <w:r w:rsidR="00EC4A72">
        <w:t>uture care and case management</w:t>
      </w:r>
      <w:r w:rsidR="002B485C">
        <w:t>, such that the NHS</w:t>
      </w:r>
      <w:r w:rsidR="00A84FC6">
        <w:t xml:space="preserve"> </w:t>
      </w:r>
      <w:r w:rsidR="002B485C">
        <w:t>LA shall be responsible to the Claimant for and make such payments to the Claimant</w:t>
      </w:r>
    </w:p>
    <w:p w14:paraId="12956176" w14:textId="77777777" w:rsidR="00457007" w:rsidRDefault="00457007" w:rsidP="00457007">
      <w:pPr>
        <w:widowControl w:val="0"/>
        <w:tabs>
          <w:tab w:val="left" w:pos="-1440"/>
        </w:tabs>
        <w:autoSpaceDE w:val="0"/>
        <w:autoSpaceDN w:val="0"/>
        <w:adjustRightInd w:val="0"/>
        <w:spacing w:line="480" w:lineRule="auto"/>
        <w:jc w:val="both"/>
      </w:pPr>
    </w:p>
    <w:p w14:paraId="07C8B826" w14:textId="77777777" w:rsidR="002B485C" w:rsidRDefault="002B485C" w:rsidP="005D2BD5">
      <w:pPr>
        <w:widowControl w:val="0"/>
        <w:numPr>
          <w:ilvl w:val="1"/>
          <w:numId w:val="1"/>
        </w:numPr>
        <w:tabs>
          <w:tab w:val="clear" w:pos="1800"/>
          <w:tab w:val="left" w:pos="-1440"/>
          <w:tab w:val="num" w:pos="851"/>
        </w:tabs>
        <w:autoSpaceDE w:val="0"/>
        <w:autoSpaceDN w:val="0"/>
        <w:adjustRightInd w:val="0"/>
        <w:spacing w:line="480" w:lineRule="auto"/>
        <w:ind w:left="851" w:hanging="851"/>
        <w:jc w:val="both"/>
      </w:pPr>
      <w:r>
        <w:rPr>
          <w:b/>
          <w:bCs/>
        </w:rPr>
        <w:t xml:space="preserve">AND IT IS FURTHER ORDERED </w:t>
      </w:r>
      <w:r>
        <w:t xml:space="preserve">that the Defendant do pay the Claimant’s costs </w:t>
      </w:r>
      <w:r w:rsidR="003E26E5">
        <w:t>on</w:t>
      </w:r>
      <w:r>
        <w:t xml:space="preserve"> the standard basis such costs to be the subject of a detailed assessment, if </w:t>
      </w:r>
      <w:r w:rsidR="003E26E5">
        <w:t>not agreed</w:t>
      </w:r>
      <w:r w:rsidR="00F742D4">
        <w:t>, with credit to be given for the interim payment of £30,000 paid on 21 March 2019</w:t>
      </w:r>
    </w:p>
    <w:p w14:paraId="3A4D39D6" w14:textId="77777777" w:rsidR="002B485C" w:rsidRDefault="002B485C" w:rsidP="005D2BD5">
      <w:pPr>
        <w:tabs>
          <w:tab w:val="left" w:pos="-1440"/>
        </w:tabs>
        <w:spacing w:line="480" w:lineRule="auto"/>
        <w:jc w:val="both"/>
      </w:pPr>
    </w:p>
    <w:p w14:paraId="3FB08AC7" w14:textId="77777777" w:rsidR="00875DF1" w:rsidRDefault="002522F6" w:rsidP="0004140D">
      <w:pPr>
        <w:widowControl w:val="0"/>
        <w:numPr>
          <w:ilvl w:val="1"/>
          <w:numId w:val="1"/>
        </w:numPr>
        <w:tabs>
          <w:tab w:val="clear" w:pos="1800"/>
          <w:tab w:val="left" w:pos="-1440"/>
          <w:tab w:val="num" w:pos="851"/>
        </w:tabs>
        <w:autoSpaceDE w:val="0"/>
        <w:autoSpaceDN w:val="0"/>
        <w:adjustRightInd w:val="0"/>
        <w:spacing w:line="480" w:lineRule="auto"/>
        <w:ind w:left="851" w:hanging="851"/>
        <w:jc w:val="both"/>
      </w:pPr>
      <w:r w:rsidRPr="004872DE">
        <w:rPr>
          <w:b/>
          <w:bCs/>
        </w:rPr>
        <w:t xml:space="preserve">AND IT IS FURTHER ORDERED </w:t>
      </w:r>
      <w:r w:rsidRPr="004872DE">
        <w:t xml:space="preserve">that by </w:t>
      </w:r>
      <w:r w:rsidR="00991069">
        <w:t>1</w:t>
      </w:r>
      <w:r w:rsidR="00991069" w:rsidRPr="00991069">
        <w:rPr>
          <w:vertAlign w:val="superscript"/>
        </w:rPr>
        <w:t>st</w:t>
      </w:r>
      <w:r w:rsidR="00991069">
        <w:t xml:space="preserve"> November 2021</w:t>
      </w:r>
      <w:r w:rsidRPr="004872DE">
        <w:t xml:space="preserve"> the Defendant do pay a further interim payment on account of costs in the sum of £</w:t>
      </w:r>
      <w:r>
        <w:t>150,000 (one hundred and fifty thousand pounds)</w:t>
      </w:r>
    </w:p>
    <w:p w14:paraId="72C8CB6F" w14:textId="77777777" w:rsidR="00875DF1" w:rsidRDefault="00875DF1" w:rsidP="0004140D">
      <w:pPr>
        <w:pStyle w:val="ListParagraph"/>
      </w:pPr>
    </w:p>
    <w:p w14:paraId="1C3144AF" w14:textId="77777777" w:rsidR="00875DF1" w:rsidRPr="004872DE" w:rsidRDefault="00AC1128" w:rsidP="0004140D">
      <w:pPr>
        <w:widowControl w:val="0"/>
        <w:numPr>
          <w:ilvl w:val="1"/>
          <w:numId w:val="1"/>
        </w:numPr>
        <w:tabs>
          <w:tab w:val="clear" w:pos="1800"/>
          <w:tab w:val="left" w:pos="-1440"/>
          <w:tab w:val="num" w:pos="851"/>
        </w:tabs>
        <w:autoSpaceDE w:val="0"/>
        <w:autoSpaceDN w:val="0"/>
        <w:adjustRightInd w:val="0"/>
        <w:spacing w:line="480" w:lineRule="auto"/>
        <w:ind w:left="851" w:hanging="851"/>
        <w:jc w:val="both"/>
      </w:pPr>
      <w:r>
        <w:rPr>
          <w:b/>
        </w:rPr>
        <w:t xml:space="preserve">AND IT IS FURTHER ORDERED </w:t>
      </w:r>
      <w:r>
        <w:t>that t</w:t>
      </w:r>
      <w:r w:rsidR="00875DF1">
        <w:t xml:space="preserve">here shall be a detailed assessment hearing to determine what costs shall be payable by the Claimant to his solicitors, such costs shall be assessed on the indemnity basis pursuant to CPR 46.4 and shall </w:t>
      </w:r>
      <w:r w:rsidR="00875DF1">
        <w:lastRenderedPageBreak/>
        <w:t>take place following the conclusion of the assessment or agreement of the Defendant’s liability for the Claimants’ legal costs</w:t>
      </w:r>
    </w:p>
    <w:p w14:paraId="29249BA8" w14:textId="77777777" w:rsidR="002522F6" w:rsidRDefault="002522F6" w:rsidP="004872DE">
      <w:pPr>
        <w:pStyle w:val="ListParagraph"/>
        <w:rPr>
          <w:b/>
          <w:bCs/>
        </w:rPr>
      </w:pPr>
    </w:p>
    <w:p w14:paraId="7C744AB4" w14:textId="77777777" w:rsidR="00654593" w:rsidRDefault="002B485C" w:rsidP="00B64EA1">
      <w:pPr>
        <w:widowControl w:val="0"/>
        <w:numPr>
          <w:ilvl w:val="1"/>
          <w:numId w:val="1"/>
        </w:numPr>
        <w:tabs>
          <w:tab w:val="clear" w:pos="1800"/>
          <w:tab w:val="left" w:pos="-1440"/>
          <w:tab w:val="num" w:pos="851"/>
        </w:tabs>
        <w:autoSpaceDE w:val="0"/>
        <w:autoSpaceDN w:val="0"/>
        <w:adjustRightInd w:val="0"/>
        <w:spacing w:line="480" w:lineRule="auto"/>
        <w:ind w:left="851" w:hanging="851"/>
        <w:jc w:val="both"/>
      </w:pPr>
      <w:r>
        <w:rPr>
          <w:b/>
          <w:bCs/>
        </w:rPr>
        <w:t xml:space="preserve">AND IT IS FURTHER ORDERED </w:t>
      </w:r>
      <w:r>
        <w:t>that all further proceedings in this action be stayed except for the purpose of implementing the terms of this Order and the terms set out in the attached Schedule, for which purpose there be permission to apply to the Claimant, the Defendant and to the NHS</w:t>
      </w:r>
      <w:r w:rsidR="00A84FC6">
        <w:t xml:space="preserve"> </w:t>
      </w:r>
      <w:r>
        <w:t>LA, and if necessary to add the NHS</w:t>
      </w:r>
      <w:r w:rsidR="00A84FC6">
        <w:t xml:space="preserve"> </w:t>
      </w:r>
      <w:r>
        <w:t xml:space="preserve">LA as a party to </w:t>
      </w:r>
      <w:r w:rsidR="00EC4A72">
        <w:t>enforce the terms of this Order</w:t>
      </w:r>
    </w:p>
    <w:p w14:paraId="1462D0F5" w14:textId="77777777" w:rsidR="00963DCA" w:rsidRDefault="00963DCA" w:rsidP="00963DCA">
      <w:pPr>
        <w:widowControl w:val="0"/>
        <w:tabs>
          <w:tab w:val="left" w:pos="-1440"/>
        </w:tabs>
        <w:autoSpaceDE w:val="0"/>
        <w:autoSpaceDN w:val="0"/>
        <w:adjustRightInd w:val="0"/>
        <w:spacing w:line="480" w:lineRule="auto"/>
        <w:jc w:val="both"/>
      </w:pPr>
    </w:p>
    <w:p w14:paraId="2DF6FA55" w14:textId="77777777" w:rsidR="002B485C" w:rsidRDefault="00963DCA" w:rsidP="00963DCA">
      <w:pPr>
        <w:widowControl w:val="0"/>
        <w:numPr>
          <w:ilvl w:val="1"/>
          <w:numId w:val="1"/>
        </w:numPr>
        <w:tabs>
          <w:tab w:val="clear" w:pos="1800"/>
          <w:tab w:val="left" w:pos="-1440"/>
          <w:tab w:val="num" w:pos="851"/>
        </w:tabs>
        <w:autoSpaceDE w:val="0"/>
        <w:autoSpaceDN w:val="0"/>
        <w:adjustRightInd w:val="0"/>
        <w:spacing w:line="480" w:lineRule="auto"/>
        <w:ind w:left="851" w:hanging="851"/>
        <w:jc w:val="both"/>
      </w:pPr>
      <w:r>
        <w:rPr>
          <w:b/>
          <w:bCs/>
        </w:rPr>
        <w:t xml:space="preserve">AND IT IS FURTHER ORDERED </w:t>
      </w:r>
      <w:r>
        <w:t>that there be permission to restore</w:t>
      </w:r>
    </w:p>
    <w:p w14:paraId="76EE529C" w14:textId="77777777" w:rsidR="002B485C" w:rsidRDefault="002B485C" w:rsidP="005D2BD5">
      <w:pPr>
        <w:tabs>
          <w:tab w:val="left" w:pos="-1440"/>
        </w:tabs>
        <w:spacing w:line="480" w:lineRule="auto"/>
        <w:jc w:val="both"/>
        <w:rPr>
          <w:b/>
          <w:bCs/>
        </w:rPr>
      </w:pPr>
    </w:p>
    <w:p w14:paraId="2FE432AB" w14:textId="77777777" w:rsidR="003E608C" w:rsidRDefault="003E608C" w:rsidP="003E608C">
      <w:r>
        <w:t xml:space="preserve">Dated </w:t>
      </w:r>
      <w:r w:rsidR="00DB5ACC">
        <w:t>this day of 4</w:t>
      </w:r>
      <w:r w:rsidR="00DB5ACC" w:rsidRPr="00DB5ACC">
        <w:rPr>
          <w:vertAlign w:val="superscript"/>
        </w:rPr>
        <w:t>th</w:t>
      </w:r>
      <w:r w:rsidR="00DB5ACC">
        <w:t xml:space="preserve"> October 2021</w:t>
      </w:r>
    </w:p>
    <w:p w14:paraId="607897AC" w14:textId="77777777" w:rsidR="005726E0" w:rsidRPr="00375CD2" w:rsidRDefault="003E608C" w:rsidP="00CA7FF1">
      <w:pPr>
        <w:tabs>
          <w:tab w:val="left" w:pos="720"/>
        </w:tabs>
        <w:spacing w:line="480" w:lineRule="auto"/>
        <w:jc w:val="center"/>
        <w:rPr>
          <w:b/>
          <w:u w:val="single"/>
        </w:rPr>
      </w:pPr>
      <w:r>
        <w:br w:type="page"/>
      </w:r>
      <w:r w:rsidR="005726E0" w:rsidRPr="00375CD2">
        <w:rPr>
          <w:b/>
          <w:u w:val="single"/>
        </w:rPr>
        <w:lastRenderedPageBreak/>
        <w:t>SCHEDULE TO THE ORDER</w:t>
      </w:r>
    </w:p>
    <w:p w14:paraId="0D5F7B40" w14:textId="77777777" w:rsidR="005726E0" w:rsidRPr="00375CD2" w:rsidRDefault="005726E0" w:rsidP="005726E0"/>
    <w:p w14:paraId="230810F5" w14:textId="77777777" w:rsidR="005726E0" w:rsidRPr="00375CD2" w:rsidRDefault="005726E0" w:rsidP="005726E0">
      <w:pPr>
        <w:jc w:val="center"/>
        <w:rPr>
          <w:b/>
          <w:u w:val="single"/>
        </w:rPr>
      </w:pPr>
      <w:r w:rsidRPr="00375CD2">
        <w:rPr>
          <w:b/>
          <w:u w:val="single"/>
        </w:rPr>
        <w:t>Part 1 of the Schedule to the order</w:t>
      </w:r>
    </w:p>
    <w:p w14:paraId="077F3E28" w14:textId="77777777" w:rsidR="005726E0" w:rsidRPr="00375CD2" w:rsidRDefault="005726E0" w:rsidP="005726E0">
      <w:pPr>
        <w:jc w:val="center"/>
        <w:rPr>
          <w:b/>
          <w:u w:val="single"/>
        </w:rPr>
      </w:pPr>
    </w:p>
    <w:p w14:paraId="37802C05" w14:textId="77777777" w:rsidR="005726E0" w:rsidRPr="00375CD2" w:rsidRDefault="005726E0" w:rsidP="005726E0">
      <w:pPr>
        <w:jc w:val="center"/>
        <w:rPr>
          <w:b/>
          <w:u w:val="single"/>
        </w:rPr>
      </w:pPr>
    </w:p>
    <w:p w14:paraId="4B258B17" w14:textId="77777777" w:rsidR="005726E0" w:rsidRPr="00375CD2" w:rsidRDefault="005726E0" w:rsidP="005726E0">
      <w:pPr>
        <w:spacing w:line="480" w:lineRule="auto"/>
        <w:jc w:val="both"/>
      </w:pPr>
      <w:r w:rsidRPr="00375CD2">
        <w:t>Each sum payable under part 2 of this schedule is a “periodical payment” subject to the conditions set out in paragraphs 1-8 of this part</w:t>
      </w:r>
    </w:p>
    <w:p w14:paraId="7A55D1EF" w14:textId="77777777" w:rsidR="005726E0" w:rsidRPr="00375CD2" w:rsidRDefault="005726E0" w:rsidP="005726E0"/>
    <w:p w14:paraId="4963C332" w14:textId="77777777" w:rsidR="005726E0" w:rsidRPr="00375CD2" w:rsidRDefault="005726E0" w:rsidP="005726E0">
      <w:pPr>
        <w:numPr>
          <w:ilvl w:val="0"/>
          <w:numId w:val="7"/>
        </w:numPr>
        <w:tabs>
          <w:tab w:val="clear" w:pos="360"/>
          <w:tab w:val="num" w:pos="0"/>
        </w:tabs>
        <w:spacing w:line="480" w:lineRule="auto"/>
        <w:ind w:left="720" w:hanging="720"/>
        <w:jc w:val="both"/>
      </w:pPr>
      <w:r w:rsidRPr="00375CD2">
        <w:t>Unless specifically stated, all the periodical payments under part 2 of this schedule will continue during the lifetime of the Claimant</w:t>
      </w:r>
    </w:p>
    <w:p w14:paraId="13443B4B" w14:textId="77777777" w:rsidR="005726E0" w:rsidRPr="00375CD2" w:rsidRDefault="005726E0" w:rsidP="005726E0">
      <w:pPr>
        <w:spacing w:line="480" w:lineRule="auto"/>
        <w:ind w:left="720" w:hanging="720"/>
        <w:jc w:val="both"/>
      </w:pPr>
    </w:p>
    <w:p w14:paraId="3BA375D4" w14:textId="77777777" w:rsidR="005726E0" w:rsidRPr="00375CD2" w:rsidRDefault="005726E0" w:rsidP="005726E0">
      <w:pPr>
        <w:numPr>
          <w:ilvl w:val="0"/>
          <w:numId w:val="7"/>
        </w:numPr>
        <w:tabs>
          <w:tab w:val="clear" w:pos="360"/>
          <w:tab w:val="num" w:pos="0"/>
        </w:tabs>
        <w:spacing w:line="480" w:lineRule="auto"/>
        <w:ind w:left="720" w:hanging="720"/>
        <w:jc w:val="both"/>
      </w:pPr>
      <w:r w:rsidRPr="00375CD2">
        <w:t>No minimum number of periodical payments under part 2 of this schedule shall be made</w:t>
      </w:r>
    </w:p>
    <w:p w14:paraId="08EC07BB" w14:textId="77777777" w:rsidR="005726E0" w:rsidRPr="00375CD2" w:rsidRDefault="005726E0" w:rsidP="005726E0">
      <w:pPr>
        <w:spacing w:line="480" w:lineRule="auto"/>
        <w:ind w:left="720" w:hanging="720"/>
        <w:jc w:val="both"/>
      </w:pPr>
    </w:p>
    <w:p w14:paraId="61F14FDF" w14:textId="77777777" w:rsidR="005726E0" w:rsidRPr="00375CD2" w:rsidRDefault="005726E0" w:rsidP="005726E0">
      <w:pPr>
        <w:numPr>
          <w:ilvl w:val="0"/>
          <w:numId w:val="7"/>
        </w:numPr>
        <w:tabs>
          <w:tab w:val="clear" w:pos="360"/>
          <w:tab w:val="num" w:pos="0"/>
        </w:tabs>
        <w:spacing w:line="480" w:lineRule="auto"/>
        <w:ind w:left="720" w:hanging="720"/>
        <w:jc w:val="both"/>
      </w:pPr>
      <w:r w:rsidRPr="00375CD2">
        <w:t>Payment of the periodical payments under part 2 of this schedule will cease on the death of the Claimant</w:t>
      </w:r>
    </w:p>
    <w:p w14:paraId="01920E09" w14:textId="77777777" w:rsidR="005726E0" w:rsidRPr="00375CD2" w:rsidRDefault="005726E0" w:rsidP="005726E0">
      <w:pPr>
        <w:spacing w:line="480" w:lineRule="auto"/>
        <w:ind w:left="720" w:hanging="720"/>
        <w:jc w:val="both"/>
      </w:pPr>
    </w:p>
    <w:p w14:paraId="5B311196" w14:textId="77777777" w:rsidR="005726E0" w:rsidRPr="00375CD2" w:rsidRDefault="005726E0" w:rsidP="005726E0">
      <w:pPr>
        <w:numPr>
          <w:ilvl w:val="0"/>
          <w:numId w:val="7"/>
        </w:numPr>
        <w:tabs>
          <w:tab w:val="clear" w:pos="360"/>
          <w:tab w:val="num" w:pos="0"/>
        </w:tabs>
        <w:spacing w:line="480" w:lineRule="auto"/>
        <w:ind w:left="720" w:hanging="720"/>
        <w:jc w:val="both"/>
      </w:pPr>
      <w:r w:rsidRPr="00375CD2">
        <w:t>The final periodical payment under part 2 of this schedule will be pro-rated for so much of the final year that the Claimant had survived and any balance owing to the NHS</w:t>
      </w:r>
      <w:r w:rsidR="003D7E17">
        <w:t xml:space="preserve"> </w:t>
      </w:r>
      <w:r w:rsidRPr="00375CD2">
        <w:t>LA or its successor will be repayable to it out of the Claimant’s estate</w:t>
      </w:r>
      <w:r w:rsidRPr="00375CD2">
        <w:rPr>
          <w:b/>
        </w:rPr>
        <w:t xml:space="preserve">, </w:t>
      </w:r>
      <w:r w:rsidRPr="00375CD2">
        <w:t>subject only to deduction by the Claimant’s estate of such sums as the Claimant’s estate may be liable for in respect of the termination of the employment of any persons employed to care for the Claimant</w:t>
      </w:r>
    </w:p>
    <w:p w14:paraId="047C88AE" w14:textId="77777777" w:rsidR="005726E0" w:rsidRPr="00375CD2" w:rsidRDefault="005726E0" w:rsidP="005726E0">
      <w:pPr>
        <w:spacing w:line="480" w:lineRule="auto"/>
        <w:ind w:left="720" w:hanging="720"/>
        <w:jc w:val="both"/>
      </w:pPr>
    </w:p>
    <w:p w14:paraId="38942A57" w14:textId="77777777" w:rsidR="005726E0" w:rsidRPr="00375CD2" w:rsidRDefault="005726E0" w:rsidP="005726E0">
      <w:pPr>
        <w:numPr>
          <w:ilvl w:val="0"/>
          <w:numId w:val="7"/>
        </w:numPr>
        <w:tabs>
          <w:tab w:val="clear" w:pos="360"/>
          <w:tab w:val="num" w:pos="0"/>
        </w:tabs>
        <w:spacing w:line="480" w:lineRule="auto"/>
        <w:ind w:left="720" w:hanging="720"/>
        <w:jc w:val="both"/>
      </w:pPr>
      <w:r w:rsidRPr="00375CD2">
        <w:t>The NHS</w:t>
      </w:r>
      <w:r w:rsidR="003D7E17">
        <w:t xml:space="preserve"> </w:t>
      </w:r>
      <w:r w:rsidRPr="00375CD2">
        <w:t>LA shall be entitled to require the Claimant to produce evidence in a form reasonably satisfactory to the NHS</w:t>
      </w:r>
      <w:r w:rsidR="003D7E17">
        <w:t xml:space="preserve"> </w:t>
      </w:r>
      <w:r w:rsidRPr="00375CD2">
        <w:t>LA that the Claimant remains alive before making any periodical payment</w:t>
      </w:r>
    </w:p>
    <w:p w14:paraId="27292F1D" w14:textId="77777777" w:rsidR="005726E0" w:rsidRPr="00375CD2" w:rsidRDefault="005726E0" w:rsidP="005726E0">
      <w:pPr>
        <w:spacing w:line="480" w:lineRule="auto"/>
        <w:ind w:left="720" w:hanging="720"/>
        <w:jc w:val="both"/>
      </w:pPr>
    </w:p>
    <w:p w14:paraId="72012766" w14:textId="77777777" w:rsidR="005726E0" w:rsidRDefault="005726E0" w:rsidP="005726E0">
      <w:pPr>
        <w:numPr>
          <w:ilvl w:val="0"/>
          <w:numId w:val="7"/>
        </w:numPr>
        <w:tabs>
          <w:tab w:val="clear" w:pos="360"/>
          <w:tab w:val="num" w:pos="0"/>
        </w:tabs>
        <w:spacing w:line="480" w:lineRule="auto"/>
        <w:ind w:left="720" w:hanging="720"/>
        <w:jc w:val="both"/>
      </w:pPr>
      <w:r w:rsidRPr="00375CD2">
        <w:lastRenderedPageBreak/>
        <w:t xml:space="preserve">The periodical payments under part 2 of this schedule are to be made by </w:t>
      </w:r>
      <w:proofErr w:type="gramStart"/>
      <w:r w:rsidRPr="00375CD2">
        <w:t xml:space="preserve">BACS  </w:t>
      </w:r>
      <w:r w:rsidR="001067FC">
        <w:t>into</w:t>
      </w:r>
      <w:proofErr w:type="gramEnd"/>
      <w:r w:rsidR="001067FC">
        <w:t xml:space="preserve"> the Account of the Deputy (Irwin Mitchell Trust Corporation as Deputy for </w:t>
      </w:r>
      <w:proofErr w:type="spellStart"/>
      <w:r w:rsidR="00FA6BA0">
        <w:t>XSC</w:t>
      </w:r>
      <w:proofErr w:type="spellEnd"/>
      <w:r w:rsidR="001067FC">
        <w:t xml:space="preserve">. Account number </w:t>
      </w:r>
      <w:r w:rsidR="001067FC" w:rsidRPr="001067FC">
        <w:t>7068 4160</w:t>
      </w:r>
      <w:r w:rsidR="001067FC">
        <w:t xml:space="preserve">, sort code </w:t>
      </w:r>
      <w:r w:rsidR="001067FC" w:rsidRPr="001067FC">
        <w:t>30-97-51</w:t>
      </w:r>
      <w:r w:rsidR="001067FC">
        <w:t>)</w:t>
      </w:r>
    </w:p>
    <w:p w14:paraId="31517947" w14:textId="77777777" w:rsidR="003D7E17" w:rsidRPr="00375CD2" w:rsidRDefault="003D7E17" w:rsidP="003D7E17">
      <w:pPr>
        <w:spacing w:line="480" w:lineRule="auto"/>
        <w:jc w:val="both"/>
      </w:pPr>
    </w:p>
    <w:p w14:paraId="1DA67123" w14:textId="77777777" w:rsidR="003D7E17" w:rsidRPr="00D41EA8" w:rsidRDefault="003D7E17" w:rsidP="003D7E17">
      <w:pPr>
        <w:numPr>
          <w:ilvl w:val="0"/>
          <w:numId w:val="7"/>
        </w:numPr>
        <w:tabs>
          <w:tab w:val="clear" w:pos="360"/>
          <w:tab w:val="num" w:pos="794"/>
          <w:tab w:val="left" w:pos="840"/>
        </w:tabs>
        <w:spacing w:after="400" w:line="480" w:lineRule="auto"/>
        <w:ind w:left="794" w:hanging="794"/>
        <w:jc w:val="both"/>
      </w:pPr>
      <w:r w:rsidRPr="00D41EA8">
        <w:t>Under part 2 of this schedule the NHS LA shall provide to the Claimant and/or the Deputy in writing:</w:t>
      </w:r>
    </w:p>
    <w:p w14:paraId="154F051D" w14:textId="77777777" w:rsidR="006E4F22" w:rsidRPr="003B0711" w:rsidRDefault="003D7E17" w:rsidP="006E4F22">
      <w:pPr>
        <w:spacing w:after="400" w:line="360" w:lineRule="auto"/>
        <w:jc w:val="both"/>
      </w:pPr>
      <w:r>
        <w:t>7.1</w:t>
      </w:r>
      <w:r>
        <w:tab/>
      </w:r>
      <w:r w:rsidR="006E4F22" w:rsidRPr="006E4F22">
        <w:t>At the time of each periodical payment an explanation of how it has been calculated</w:t>
      </w:r>
      <w:r w:rsidR="006E4F22" w:rsidRPr="003B0711">
        <w:t>;</w:t>
      </w:r>
    </w:p>
    <w:p w14:paraId="1383E242" w14:textId="77777777" w:rsidR="003D7E17" w:rsidRPr="00EA13CE" w:rsidRDefault="003D7E17" w:rsidP="006E4F22">
      <w:pPr>
        <w:spacing w:after="400" w:line="480" w:lineRule="auto"/>
        <w:ind w:left="720" w:hanging="720"/>
        <w:jc w:val="both"/>
      </w:pPr>
      <w:r>
        <w:t>7.2</w:t>
      </w:r>
      <w:r>
        <w:tab/>
      </w:r>
      <w:r w:rsidR="006E4F22" w:rsidRPr="006E4F22">
        <w:t xml:space="preserve">If reclassification or a change of methodology occurs within the meaning of part 2 of this </w:t>
      </w:r>
      <w:r w:rsidR="003A0C41">
        <w:t>s</w:t>
      </w:r>
      <w:r w:rsidR="006E4F22" w:rsidRPr="006E4F22">
        <w:t>chedule then when a periodical payment is made or in the event of a deferred periodical payment as soon as practicable following such a reclassification or a change of methodology, the relevant calculation(s) under paragraph 6 and the numerical value of ‘</w:t>
      </w:r>
      <w:r w:rsidR="006E4F22" w:rsidRPr="006E4F22">
        <w:rPr>
          <w:i/>
        </w:rPr>
        <w:t xml:space="preserve">AR’ </w:t>
      </w:r>
      <w:r w:rsidR="006E4F22" w:rsidRPr="006E4F22">
        <w:t>as defined in paragraph 7.1.4 of that part applicable to any current and/or future periodical pay</w:t>
      </w:r>
      <w:r w:rsidR="003A0C41">
        <w:t>ment to be made under that part</w:t>
      </w:r>
      <w:r w:rsidR="006E4F22" w:rsidRPr="006E4F22">
        <w:t xml:space="preserve">  </w:t>
      </w:r>
    </w:p>
    <w:p w14:paraId="458BC4B5" w14:textId="77777777" w:rsidR="005726E0" w:rsidRPr="00375CD2" w:rsidRDefault="003D7E17" w:rsidP="003D7E17">
      <w:pPr>
        <w:tabs>
          <w:tab w:val="left" w:pos="-1200"/>
        </w:tabs>
        <w:spacing w:line="480" w:lineRule="auto"/>
        <w:ind w:left="720" w:hanging="720"/>
        <w:jc w:val="both"/>
      </w:pPr>
      <w:r>
        <w:t>8.</w:t>
      </w:r>
      <w:r>
        <w:tab/>
      </w:r>
      <w:r w:rsidR="005726E0" w:rsidRPr="00375CD2">
        <w:t>The NHS</w:t>
      </w:r>
      <w:r>
        <w:t xml:space="preserve"> </w:t>
      </w:r>
      <w:r w:rsidR="005726E0" w:rsidRPr="00375CD2">
        <w:t xml:space="preserve">LA shall pay the relevant annual sums set out in part 2 of this schedule on </w:t>
      </w:r>
      <w:r w:rsidR="002556F6">
        <w:t xml:space="preserve">the </w:t>
      </w:r>
      <w:r w:rsidR="005726E0" w:rsidRPr="00375CD2">
        <w:t>15</w:t>
      </w:r>
      <w:r w:rsidR="002556F6" w:rsidRPr="002556F6">
        <w:rPr>
          <w:vertAlign w:val="superscript"/>
        </w:rPr>
        <w:t>th</w:t>
      </w:r>
      <w:r w:rsidR="002556F6">
        <w:t xml:space="preserve"> of</w:t>
      </w:r>
      <w:r w:rsidR="005726E0" w:rsidRPr="00375CD2">
        <w:t xml:space="preserve"> December of each year, save that:</w:t>
      </w:r>
    </w:p>
    <w:p w14:paraId="1E063F94" w14:textId="77777777" w:rsidR="005726E0" w:rsidRPr="00375CD2" w:rsidRDefault="005726E0" w:rsidP="005726E0">
      <w:pPr>
        <w:tabs>
          <w:tab w:val="left" w:pos="-1200"/>
        </w:tabs>
        <w:spacing w:line="480" w:lineRule="auto"/>
        <w:jc w:val="both"/>
      </w:pPr>
    </w:p>
    <w:p w14:paraId="70C1D2DA" w14:textId="77777777" w:rsidR="005726E0" w:rsidRPr="00375CD2" w:rsidRDefault="005726E0" w:rsidP="005726E0">
      <w:pPr>
        <w:tabs>
          <w:tab w:val="left" w:pos="-1200"/>
        </w:tabs>
        <w:spacing w:line="480" w:lineRule="auto"/>
        <w:ind w:left="720" w:hanging="720"/>
        <w:jc w:val="both"/>
      </w:pPr>
      <w:r w:rsidRPr="00375CD2">
        <w:t>8.1</w:t>
      </w:r>
      <w:r w:rsidRPr="00375CD2">
        <w:tab/>
      </w:r>
      <w:r w:rsidRPr="00375CD2">
        <w:rPr>
          <w:lang w:val="en-US"/>
        </w:rPr>
        <w:t xml:space="preserve">If the Office for National Statistics </w:t>
      </w:r>
      <w:r w:rsidR="000300A6">
        <w:rPr>
          <w:lang w:val="en-US"/>
        </w:rPr>
        <w:t>[</w:t>
      </w:r>
      <w:r w:rsidRPr="00375CD2">
        <w:rPr>
          <w:i/>
          <w:iCs/>
          <w:lang w:val="en-US"/>
        </w:rPr>
        <w:t>‘ONS</w:t>
      </w:r>
      <w:r w:rsidRPr="00375CD2">
        <w:rPr>
          <w:lang w:val="en-US"/>
        </w:rPr>
        <w:t>’</w:t>
      </w:r>
      <w:r w:rsidR="000300A6">
        <w:rPr>
          <w:lang w:val="en-US"/>
        </w:rPr>
        <w:t>]</w:t>
      </w:r>
      <w:r w:rsidRPr="00375CD2">
        <w:rPr>
          <w:lang w:val="en-US"/>
        </w:rPr>
        <w:t xml:space="preserve"> does not publish by</w:t>
      </w:r>
      <w:r w:rsidR="002556F6">
        <w:rPr>
          <w:lang w:val="en-US"/>
        </w:rPr>
        <w:t xml:space="preserve"> the</w:t>
      </w:r>
      <w:r w:rsidRPr="00375CD2">
        <w:rPr>
          <w:lang w:val="en-US"/>
        </w:rPr>
        <w:t xml:space="preserve"> 17</w:t>
      </w:r>
      <w:r w:rsidRPr="00375CD2">
        <w:rPr>
          <w:vertAlign w:val="superscript"/>
          <w:lang w:val="en-US"/>
        </w:rPr>
        <w:t>th</w:t>
      </w:r>
      <w:r w:rsidRPr="00375CD2">
        <w:rPr>
          <w:lang w:val="en-US"/>
        </w:rPr>
        <w:t xml:space="preserve"> </w:t>
      </w:r>
      <w:r w:rsidR="002556F6">
        <w:rPr>
          <w:lang w:val="en-US"/>
        </w:rPr>
        <w:t xml:space="preserve">of </w:t>
      </w:r>
      <w:r w:rsidRPr="00375CD2">
        <w:rPr>
          <w:lang w:val="en-US"/>
        </w:rPr>
        <w:t>November in the relevant year all the relevant data and as a result the NHS</w:t>
      </w:r>
      <w:r w:rsidR="003D7E17">
        <w:rPr>
          <w:lang w:val="en-US"/>
        </w:rPr>
        <w:t xml:space="preserve"> </w:t>
      </w:r>
      <w:r w:rsidRPr="00375CD2">
        <w:rPr>
          <w:lang w:val="en-US"/>
        </w:rPr>
        <w:t xml:space="preserve">LA is unable to perform the relevant calculations under </w:t>
      </w:r>
      <w:proofErr w:type="spellStart"/>
      <w:r w:rsidRPr="00375CD2">
        <w:rPr>
          <w:lang w:val="en-US"/>
        </w:rPr>
        <w:t>part</w:t>
      </w:r>
      <w:proofErr w:type="spellEnd"/>
      <w:r w:rsidRPr="00375CD2">
        <w:rPr>
          <w:lang w:val="en-US"/>
        </w:rPr>
        <w:t xml:space="preserve"> 2 to recalculate the periodical payment due to the Claimant before</w:t>
      </w:r>
      <w:r w:rsidR="002556F6">
        <w:rPr>
          <w:lang w:val="en-US"/>
        </w:rPr>
        <w:t xml:space="preserve"> the</w:t>
      </w:r>
      <w:r w:rsidRPr="00375CD2">
        <w:rPr>
          <w:lang w:val="en-US"/>
        </w:rPr>
        <w:t xml:space="preserve"> 15</w:t>
      </w:r>
      <w:r w:rsidR="002556F6" w:rsidRPr="002556F6">
        <w:rPr>
          <w:vertAlign w:val="superscript"/>
          <w:lang w:val="en-US"/>
        </w:rPr>
        <w:t>th</w:t>
      </w:r>
      <w:r w:rsidR="002556F6">
        <w:rPr>
          <w:lang w:val="en-US"/>
        </w:rPr>
        <w:t xml:space="preserve"> of</w:t>
      </w:r>
      <w:r w:rsidRPr="00375CD2">
        <w:rPr>
          <w:lang w:val="en-US"/>
        </w:rPr>
        <w:t xml:space="preserve"> December of the relevant year, the NHS</w:t>
      </w:r>
      <w:r w:rsidR="003D7E17">
        <w:rPr>
          <w:lang w:val="en-US"/>
        </w:rPr>
        <w:t xml:space="preserve"> </w:t>
      </w:r>
      <w:r w:rsidRPr="00375CD2">
        <w:rPr>
          <w:lang w:val="en-US"/>
        </w:rPr>
        <w:t>LA shall on</w:t>
      </w:r>
      <w:r w:rsidR="002556F6">
        <w:rPr>
          <w:lang w:val="en-US"/>
        </w:rPr>
        <w:t xml:space="preserve"> the</w:t>
      </w:r>
      <w:r w:rsidRPr="00375CD2">
        <w:rPr>
          <w:lang w:val="en-US"/>
        </w:rPr>
        <w:t xml:space="preserve"> 15</w:t>
      </w:r>
      <w:r w:rsidR="002556F6" w:rsidRPr="002556F6">
        <w:rPr>
          <w:vertAlign w:val="superscript"/>
          <w:lang w:val="en-US"/>
        </w:rPr>
        <w:t>th</w:t>
      </w:r>
      <w:r w:rsidR="002556F6">
        <w:rPr>
          <w:lang w:val="en-US"/>
        </w:rPr>
        <w:t xml:space="preserve"> of</w:t>
      </w:r>
      <w:r w:rsidRPr="00375CD2">
        <w:rPr>
          <w:vertAlign w:val="superscript"/>
          <w:lang w:val="en-US"/>
        </w:rPr>
        <w:t xml:space="preserve"> </w:t>
      </w:r>
      <w:r w:rsidRPr="00375CD2">
        <w:rPr>
          <w:lang w:val="en-US"/>
        </w:rPr>
        <w:t xml:space="preserve">December of the relevant year make the periodical payment: (a) in the same sum as that paid in the previous year; or (b) in the increased/decreased sum recalculated in accordance with the relevant data for the previous year where in the </w:t>
      </w:r>
      <w:r w:rsidRPr="00375CD2">
        <w:rPr>
          <w:lang w:val="en-US"/>
        </w:rPr>
        <w:lastRenderedPageBreak/>
        <w:t>relevant year the annual sum was due to be increased or decreased or commenced under the relevant sub-par</w:t>
      </w:r>
      <w:r w:rsidR="002556F6">
        <w:rPr>
          <w:lang w:val="en-US"/>
        </w:rPr>
        <w:t>agraph of paragraph 1 of part 2</w:t>
      </w:r>
    </w:p>
    <w:p w14:paraId="56C2D6FA" w14:textId="77777777" w:rsidR="005726E0" w:rsidRPr="00375CD2" w:rsidRDefault="005726E0" w:rsidP="005726E0">
      <w:pPr>
        <w:tabs>
          <w:tab w:val="left" w:pos="-1200"/>
        </w:tabs>
        <w:spacing w:line="480" w:lineRule="auto"/>
        <w:jc w:val="both"/>
      </w:pPr>
    </w:p>
    <w:p w14:paraId="0BBE1050" w14:textId="77777777" w:rsidR="005726E0" w:rsidRPr="00375CD2" w:rsidRDefault="005726E0" w:rsidP="005726E0">
      <w:pPr>
        <w:tabs>
          <w:tab w:val="left" w:pos="-1200"/>
        </w:tabs>
        <w:spacing w:line="480" w:lineRule="auto"/>
        <w:ind w:left="720" w:hanging="720"/>
        <w:jc w:val="both"/>
      </w:pPr>
      <w:r w:rsidRPr="00375CD2">
        <w:rPr>
          <w:lang w:val="en-US"/>
        </w:rPr>
        <w:t>8.2</w:t>
      </w:r>
      <w:r w:rsidRPr="00375CD2">
        <w:rPr>
          <w:lang w:val="en-US"/>
        </w:rPr>
        <w:tab/>
        <w:t xml:space="preserve">Any balancing payment due to the </w:t>
      </w:r>
      <w:r w:rsidR="0047038E">
        <w:rPr>
          <w:lang w:val="en-US"/>
        </w:rPr>
        <w:t>C</w:t>
      </w:r>
      <w:r w:rsidRPr="00375CD2">
        <w:rPr>
          <w:lang w:val="en-US"/>
        </w:rPr>
        <w:t>laimant or the NHS</w:t>
      </w:r>
      <w:r w:rsidR="003D7E17">
        <w:rPr>
          <w:lang w:val="en-US"/>
        </w:rPr>
        <w:t xml:space="preserve"> </w:t>
      </w:r>
      <w:r w:rsidRPr="00375CD2">
        <w:rPr>
          <w:lang w:val="en-US"/>
        </w:rPr>
        <w:t>LA shall be made within 28 days after the publication of all the relevant</w:t>
      </w:r>
      <w:r w:rsidR="002556F6">
        <w:rPr>
          <w:lang w:val="en-US"/>
        </w:rPr>
        <w:t xml:space="preserve"> data by the ONS</w:t>
      </w:r>
    </w:p>
    <w:p w14:paraId="15847839" w14:textId="77777777" w:rsidR="005726E0" w:rsidRPr="00375CD2" w:rsidRDefault="005726E0" w:rsidP="005726E0">
      <w:pPr>
        <w:tabs>
          <w:tab w:val="left" w:pos="-1200"/>
        </w:tabs>
        <w:spacing w:line="480" w:lineRule="auto"/>
        <w:jc w:val="both"/>
      </w:pPr>
    </w:p>
    <w:p w14:paraId="1604EE2A" w14:textId="77777777" w:rsidR="005726E0" w:rsidRPr="00375CD2" w:rsidRDefault="005726E0" w:rsidP="005726E0">
      <w:pPr>
        <w:tabs>
          <w:tab w:val="left" w:pos="-1200"/>
        </w:tabs>
        <w:spacing w:line="480" w:lineRule="auto"/>
        <w:ind w:left="720" w:hanging="720"/>
        <w:jc w:val="both"/>
      </w:pPr>
      <w:r w:rsidRPr="00375CD2">
        <w:t>8.3</w:t>
      </w:r>
      <w:r w:rsidRPr="00375CD2">
        <w:tab/>
        <w:t>The NHS</w:t>
      </w:r>
      <w:r w:rsidR="003D7E17">
        <w:t xml:space="preserve"> </w:t>
      </w:r>
      <w:r w:rsidRPr="00375CD2">
        <w:t>LA shall pay interest at the then applicable Judgment Act rate on any outstanding periodical payment or part of a periodical payment not paid on</w:t>
      </w:r>
      <w:r w:rsidR="002556F6">
        <w:t xml:space="preserve"> the</w:t>
      </w:r>
      <w:r w:rsidRPr="00375CD2">
        <w:t xml:space="preserve"> 15</w:t>
      </w:r>
      <w:r w:rsidR="002556F6" w:rsidRPr="002556F6">
        <w:rPr>
          <w:vertAlign w:val="superscript"/>
        </w:rPr>
        <w:t>th</w:t>
      </w:r>
      <w:r w:rsidR="002556F6">
        <w:t xml:space="preserve"> of</w:t>
      </w:r>
      <w:r w:rsidRPr="00375CD2">
        <w:t xml:space="preserve"> December in any year from</w:t>
      </w:r>
      <w:r w:rsidR="002556F6">
        <w:t xml:space="preserve"> the</w:t>
      </w:r>
      <w:r w:rsidRPr="00375CD2">
        <w:t xml:space="preserve"> 16</w:t>
      </w:r>
      <w:r w:rsidR="002556F6" w:rsidRPr="002556F6">
        <w:rPr>
          <w:vertAlign w:val="superscript"/>
        </w:rPr>
        <w:t>th</w:t>
      </w:r>
      <w:r w:rsidR="002556F6">
        <w:t xml:space="preserve"> of</w:t>
      </w:r>
      <w:r w:rsidRPr="00375CD2">
        <w:t xml:space="preserve"> December in that year until full payment is made, except that in the circumstances contemplated in paragraphs 8.1-2 interest due on any balancing payment shall only be payable by the NHS</w:t>
      </w:r>
      <w:r w:rsidR="003D7E17">
        <w:t xml:space="preserve"> </w:t>
      </w:r>
      <w:r w:rsidRPr="00375CD2">
        <w:t xml:space="preserve">LA from 28 days after publication of all the relevant </w:t>
      </w:r>
      <w:r w:rsidR="002556F6">
        <w:t>data until full payment is made</w:t>
      </w:r>
    </w:p>
    <w:p w14:paraId="5631715C" w14:textId="77777777" w:rsidR="005726E0" w:rsidRPr="00375CD2" w:rsidRDefault="005726E0" w:rsidP="005726E0">
      <w:pPr>
        <w:tabs>
          <w:tab w:val="left" w:pos="720"/>
        </w:tabs>
        <w:spacing w:line="480" w:lineRule="auto"/>
        <w:jc w:val="both"/>
      </w:pPr>
    </w:p>
    <w:p w14:paraId="41D6C7CA" w14:textId="77777777" w:rsidR="005726E0" w:rsidRPr="00375CD2" w:rsidRDefault="006E4F22" w:rsidP="006E4F22">
      <w:pPr>
        <w:spacing w:line="480" w:lineRule="auto"/>
        <w:ind w:left="720" w:hanging="720"/>
        <w:jc w:val="both"/>
      </w:pPr>
      <w:r>
        <w:t>9.</w:t>
      </w:r>
      <w:r>
        <w:tab/>
      </w:r>
      <w:r w:rsidR="005726E0" w:rsidRPr="00375CD2">
        <w:t xml:space="preserve">For the period from </w:t>
      </w:r>
      <w:r w:rsidR="004E2698">
        <w:t>15</w:t>
      </w:r>
      <w:r w:rsidR="004E2698" w:rsidRPr="004872DE">
        <w:rPr>
          <w:vertAlign w:val="superscript"/>
        </w:rPr>
        <w:t>th</w:t>
      </w:r>
      <w:r w:rsidR="004E2698">
        <w:t xml:space="preserve"> December 2021</w:t>
      </w:r>
      <w:r w:rsidR="005726E0" w:rsidRPr="00375CD2">
        <w:t xml:space="preserve"> to </w:t>
      </w:r>
      <w:r w:rsidR="002556F6">
        <w:t xml:space="preserve">the </w:t>
      </w:r>
      <w:r w:rsidR="005726E0" w:rsidRPr="00375CD2">
        <w:t>14</w:t>
      </w:r>
      <w:r w:rsidR="002556F6" w:rsidRPr="002556F6">
        <w:rPr>
          <w:vertAlign w:val="superscript"/>
        </w:rPr>
        <w:t>th</w:t>
      </w:r>
      <w:r w:rsidR="002556F6">
        <w:t xml:space="preserve"> of</w:t>
      </w:r>
      <w:r w:rsidR="005726E0" w:rsidRPr="00375CD2">
        <w:t xml:space="preserve"> December </w:t>
      </w:r>
      <w:r w:rsidR="004E2698">
        <w:t>2022</w:t>
      </w:r>
      <w:r w:rsidR="005726E0" w:rsidRPr="00375CD2">
        <w:t xml:space="preserve"> to represent the periodical payment under part 2 of this schedule for that period the Defendant do pay the sum of </w:t>
      </w:r>
      <w:bookmarkStart w:id="0" w:name="_Hlk81315657"/>
      <w:r w:rsidR="005726E0" w:rsidRPr="00375CD2">
        <w:t>£</w:t>
      </w:r>
      <w:r w:rsidR="004E2698">
        <w:t>160,000</w:t>
      </w:r>
      <w:r w:rsidR="005726E0" w:rsidRPr="00375CD2">
        <w:t>(</w:t>
      </w:r>
      <w:r w:rsidR="004E2698">
        <w:t>one hundred and sixty thousand pounds</w:t>
      </w:r>
      <w:bookmarkEnd w:id="0"/>
      <w:r w:rsidR="005726E0" w:rsidRPr="00375CD2">
        <w:t>) due as the balance of the periodical payment for the above period and that sum shall be paid</w:t>
      </w:r>
      <w:r w:rsidR="003A0C41">
        <w:t xml:space="preserve"> by</w:t>
      </w:r>
      <w:r w:rsidR="002556F6">
        <w:t xml:space="preserve"> 4.00 pm on the </w:t>
      </w:r>
      <w:r w:rsidR="004E2698">
        <w:t>15</w:t>
      </w:r>
      <w:r w:rsidR="004E2698" w:rsidRPr="004872DE">
        <w:rPr>
          <w:vertAlign w:val="superscript"/>
        </w:rPr>
        <w:t>th</w:t>
      </w:r>
      <w:r w:rsidR="004E2698">
        <w:t xml:space="preserve"> December 2021</w:t>
      </w:r>
      <w:r w:rsidR="005726E0" w:rsidRPr="00375CD2">
        <w:t xml:space="preserve"> </w:t>
      </w:r>
    </w:p>
    <w:p w14:paraId="67BB6367" w14:textId="77777777" w:rsidR="005726E0" w:rsidRPr="00375CD2" w:rsidRDefault="005726E0" w:rsidP="005726E0">
      <w:pPr>
        <w:spacing w:line="480" w:lineRule="auto"/>
        <w:jc w:val="both"/>
      </w:pPr>
    </w:p>
    <w:p w14:paraId="1AE14A26" w14:textId="77777777" w:rsidR="002659D7" w:rsidRPr="00375CD2" w:rsidRDefault="005726E0" w:rsidP="002659D7">
      <w:pPr>
        <w:jc w:val="center"/>
        <w:rPr>
          <w:b/>
          <w:u w:val="single"/>
        </w:rPr>
      </w:pPr>
      <w:r w:rsidRPr="00375CD2">
        <w:br w:type="page"/>
      </w:r>
      <w:r w:rsidR="002659D7" w:rsidRPr="00375CD2">
        <w:rPr>
          <w:b/>
          <w:u w:val="single"/>
        </w:rPr>
        <w:lastRenderedPageBreak/>
        <w:t>Part 2: The ASHE 6115-Linked Periodical Payments</w:t>
      </w:r>
    </w:p>
    <w:p w14:paraId="4FE66494" w14:textId="77777777" w:rsidR="003D7E17" w:rsidRDefault="003D7E17" w:rsidP="005726E0">
      <w:pPr>
        <w:spacing w:line="480" w:lineRule="auto"/>
        <w:ind w:left="381"/>
        <w:jc w:val="both"/>
      </w:pPr>
    </w:p>
    <w:p w14:paraId="54AD5443" w14:textId="77777777" w:rsidR="003D7E17" w:rsidRPr="00D41EA8" w:rsidRDefault="003D7E17" w:rsidP="003D7E17">
      <w:pPr>
        <w:numPr>
          <w:ilvl w:val="0"/>
          <w:numId w:val="9"/>
        </w:numPr>
        <w:tabs>
          <w:tab w:val="clear" w:pos="360"/>
          <w:tab w:val="left" w:pos="-1560"/>
          <w:tab w:val="num" w:pos="840"/>
        </w:tabs>
        <w:spacing w:after="400" w:line="480" w:lineRule="auto"/>
        <w:ind w:left="840" w:hanging="840"/>
        <w:jc w:val="both"/>
      </w:pPr>
      <w:r w:rsidRPr="00D41EA8">
        <w:t>The following present value annual sums as recalculated in accordance with paragraphs 3-10 shall be paid in advance</w:t>
      </w:r>
    </w:p>
    <w:p w14:paraId="188667A8" w14:textId="77777777" w:rsidR="003D7E17" w:rsidRPr="00D41EA8" w:rsidRDefault="003D7E17" w:rsidP="003D7E17">
      <w:pPr>
        <w:tabs>
          <w:tab w:val="left" w:pos="840"/>
        </w:tabs>
        <w:spacing w:after="400" w:line="480" w:lineRule="auto"/>
        <w:ind w:left="840" w:hanging="840"/>
        <w:jc w:val="both"/>
      </w:pPr>
      <w:r w:rsidRPr="00D41EA8">
        <w:t>1.1</w:t>
      </w:r>
      <w:r w:rsidRPr="00D41EA8">
        <w:tab/>
        <w:t xml:space="preserve">The annual sum of </w:t>
      </w:r>
      <w:r w:rsidR="004E2698" w:rsidRPr="004E2698">
        <w:t>£160,000</w:t>
      </w:r>
      <w:r w:rsidR="00991069">
        <w:t xml:space="preserve"> </w:t>
      </w:r>
      <w:r w:rsidR="004E2698" w:rsidRPr="004E2698">
        <w:t>(one hundred and sixty thousand pounds</w:t>
      </w:r>
      <w:r w:rsidRPr="00D41EA8">
        <w:t>) payable on</w:t>
      </w:r>
      <w:r w:rsidR="002556F6">
        <w:t xml:space="preserve"> the</w:t>
      </w:r>
      <w:r w:rsidRPr="00D41EA8">
        <w:t> 15</w:t>
      </w:r>
      <w:r w:rsidRPr="00D41EA8">
        <w:rPr>
          <w:vertAlign w:val="superscript"/>
        </w:rPr>
        <w:t>th</w:t>
      </w:r>
      <w:r w:rsidRPr="00D41EA8">
        <w:t xml:space="preserve"> </w:t>
      </w:r>
      <w:r w:rsidR="002556F6">
        <w:t xml:space="preserve">of </w:t>
      </w:r>
      <w:r w:rsidRPr="00D41EA8">
        <w:t xml:space="preserve">December in each year from </w:t>
      </w:r>
      <w:r w:rsidR="004E2698">
        <w:t>15</w:t>
      </w:r>
      <w:r w:rsidR="004E2698" w:rsidRPr="004872DE">
        <w:rPr>
          <w:vertAlign w:val="superscript"/>
        </w:rPr>
        <w:t>th</w:t>
      </w:r>
      <w:r w:rsidR="004E2698">
        <w:t xml:space="preserve"> December 2022</w:t>
      </w:r>
      <w:r w:rsidRPr="00D41EA8">
        <w:t xml:space="preserve"> until</w:t>
      </w:r>
      <w:r w:rsidR="002556F6">
        <w:t xml:space="preserve"> the</w:t>
      </w:r>
      <w:r w:rsidRPr="00D41EA8">
        <w:t xml:space="preserve"> 15</w:t>
      </w:r>
      <w:r w:rsidRPr="00D41EA8">
        <w:rPr>
          <w:vertAlign w:val="superscript"/>
        </w:rPr>
        <w:t>th</w:t>
      </w:r>
      <w:r w:rsidRPr="00D41EA8">
        <w:t xml:space="preserve"> </w:t>
      </w:r>
      <w:r w:rsidR="002556F6">
        <w:t xml:space="preserve">of </w:t>
      </w:r>
      <w:r w:rsidRPr="00D41EA8">
        <w:t xml:space="preserve">December </w:t>
      </w:r>
      <w:r w:rsidR="004E2698">
        <w:t>2039</w:t>
      </w:r>
      <w:r w:rsidRPr="00D41EA8">
        <w:t xml:space="preserve"> inclusive, with the first such payment to be made on </w:t>
      </w:r>
      <w:r w:rsidR="002556F6">
        <w:t xml:space="preserve">the </w:t>
      </w:r>
      <w:r w:rsidRPr="00D41EA8">
        <w:t>15</w:t>
      </w:r>
      <w:r w:rsidRPr="00D41EA8">
        <w:rPr>
          <w:vertAlign w:val="superscript"/>
        </w:rPr>
        <w:t>th</w:t>
      </w:r>
      <w:r w:rsidRPr="00D41EA8">
        <w:t xml:space="preserve"> </w:t>
      </w:r>
      <w:r w:rsidR="002556F6">
        <w:t xml:space="preserve">of </w:t>
      </w:r>
      <w:r w:rsidRPr="00D41EA8">
        <w:t xml:space="preserve">December </w:t>
      </w:r>
      <w:r w:rsidR="004E2698">
        <w:t>2022</w:t>
      </w:r>
    </w:p>
    <w:p w14:paraId="77435F49" w14:textId="77777777" w:rsidR="003D7E17" w:rsidRPr="00D41EA8" w:rsidRDefault="003D7E17" w:rsidP="00991069">
      <w:pPr>
        <w:tabs>
          <w:tab w:val="left" w:pos="840"/>
        </w:tabs>
        <w:spacing w:after="400" w:line="480" w:lineRule="auto"/>
        <w:ind w:left="840" w:hanging="840"/>
        <w:jc w:val="both"/>
      </w:pPr>
      <w:r w:rsidRPr="00D41EA8">
        <w:t>1.2</w:t>
      </w:r>
      <w:r w:rsidRPr="00D41EA8">
        <w:tab/>
        <w:t>The annual sum of £</w:t>
      </w:r>
      <w:r w:rsidR="004E2698">
        <w:t>200,000</w:t>
      </w:r>
      <w:r w:rsidR="00991069">
        <w:t xml:space="preserve"> </w:t>
      </w:r>
      <w:r w:rsidRPr="00D41EA8">
        <w:t>(</w:t>
      </w:r>
      <w:r w:rsidR="004E2698">
        <w:t>two hundred thousand pounds</w:t>
      </w:r>
      <w:r w:rsidR="00991069">
        <w:t>)</w:t>
      </w:r>
      <w:r w:rsidRPr="00D41EA8">
        <w:t xml:space="preserve"> payable on</w:t>
      </w:r>
      <w:r w:rsidR="002556F6">
        <w:t xml:space="preserve"> the</w:t>
      </w:r>
      <w:r w:rsidRPr="00D41EA8">
        <w:t> 15</w:t>
      </w:r>
      <w:r w:rsidRPr="00D41EA8">
        <w:rPr>
          <w:vertAlign w:val="superscript"/>
        </w:rPr>
        <w:t>th</w:t>
      </w:r>
      <w:r w:rsidRPr="00D41EA8">
        <w:t xml:space="preserve"> </w:t>
      </w:r>
      <w:r w:rsidR="002556F6">
        <w:t xml:space="preserve">of </w:t>
      </w:r>
      <w:r w:rsidRPr="00D41EA8">
        <w:t xml:space="preserve">December in each year from </w:t>
      </w:r>
      <w:r w:rsidR="004E2698">
        <w:t>15</w:t>
      </w:r>
      <w:r w:rsidR="004E2698" w:rsidRPr="004872DE">
        <w:rPr>
          <w:vertAlign w:val="superscript"/>
        </w:rPr>
        <w:t>th</w:t>
      </w:r>
      <w:r w:rsidR="004E2698">
        <w:t xml:space="preserve"> December 2040</w:t>
      </w:r>
      <w:r w:rsidRPr="00D41EA8">
        <w:t xml:space="preserve"> </w:t>
      </w:r>
    </w:p>
    <w:p w14:paraId="6EAB69C1" w14:textId="77777777" w:rsidR="003D7E17" w:rsidRPr="00D41EA8" w:rsidRDefault="003D7E17" w:rsidP="003D7E17">
      <w:pPr>
        <w:tabs>
          <w:tab w:val="left" w:pos="-1680"/>
          <w:tab w:val="left" w:pos="840"/>
        </w:tabs>
        <w:spacing w:after="400" w:line="480" w:lineRule="auto"/>
        <w:ind w:left="840" w:hanging="840"/>
        <w:jc w:val="both"/>
      </w:pPr>
      <w:r w:rsidRPr="00D41EA8">
        <w:tab/>
        <w:t>The expiry of one period and the commencement of another period under the above sub-paragraphs constitutes a “step change” under this Schedule</w:t>
      </w:r>
    </w:p>
    <w:p w14:paraId="4105033B" w14:textId="77777777" w:rsidR="003D7E17" w:rsidRPr="00D41EA8" w:rsidRDefault="003D7E17" w:rsidP="003D7E17">
      <w:pPr>
        <w:numPr>
          <w:ilvl w:val="0"/>
          <w:numId w:val="9"/>
        </w:numPr>
        <w:tabs>
          <w:tab w:val="clear" w:pos="360"/>
          <w:tab w:val="num" w:pos="840"/>
          <w:tab w:val="left" w:pos="1800"/>
        </w:tabs>
        <w:spacing w:after="400" w:line="480" w:lineRule="auto"/>
        <w:ind w:left="840" w:hanging="840"/>
        <w:jc w:val="both"/>
      </w:pPr>
      <w:r w:rsidRPr="00D41EA8">
        <w:t>The relevant earnings data are the gross hourly pay for “</w:t>
      </w:r>
      <w:r w:rsidRPr="00D41EA8">
        <w:rPr>
          <w:i/>
        </w:rPr>
        <w:t>all</w:t>
      </w:r>
      <w:r w:rsidRPr="00D41EA8">
        <w:t xml:space="preserve">” employees given by the present Standard Occupational Category </w:t>
      </w:r>
      <w:r w:rsidR="000300A6">
        <w:t>[</w:t>
      </w:r>
      <w:r w:rsidRPr="00D41EA8">
        <w:rPr>
          <w:i/>
        </w:rPr>
        <w:t>‘SOC’</w:t>
      </w:r>
      <w:r w:rsidR="000300A6">
        <w:t>]</w:t>
      </w:r>
      <w:r w:rsidRPr="00D41EA8">
        <w:t xml:space="preserve"> for (Care assistants and home carers) </w:t>
      </w:r>
      <w:r w:rsidR="000300A6">
        <w:t>[</w:t>
      </w:r>
      <w:r w:rsidRPr="00D41EA8">
        <w:rPr>
          <w:i/>
        </w:rPr>
        <w:t>‘6115’</w:t>
      </w:r>
      <w:r w:rsidR="000300A6">
        <w:t>]</w:t>
      </w:r>
      <w:r w:rsidRPr="00D41EA8">
        <w:t xml:space="preserve"> at the relevant percentile shown below (currently in table </w:t>
      </w:r>
      <w:proofErr w:type="spellStart"/>
      <w:r w:rsidRPr="00D41EA8">
        <w:t>26.5a</w:t>
      </w:r>
      <w:proofErr w:type="spellEnd"/>
      <w:r w:rsidRPr="00D41EA8">
        <w:t xml:space="preserve"> at the tab for “</w:t>
      </w:r>
      <w:r w:rsidRPr="00D41EA8">
        <w:rPr>
          <w:i/>
        </w:rPr>
        <w:t>all</w:t>
      </w:r>
      <w:r w:rsidRPr="00D41EA8">
        <w:t xml:space="preserve">” employees) of the Annual Survey of Hours and Earnings in the </w:t>
      </w:r>
      <w:smartTag w:uri="urn:schemas-microsoft-com:office:smarttags" w:element="place">
        <w:smartTag w:uri="urn:schemas-microsoft-com:office:smarttags" w:element="country-region">
          <w:r w:rsidRPr="00D41EA8">
            <w:t>United Kingdom</w:t>
          </w:r>
        </w:smartTag>
      </w:smartTag>
      <w:r w:rsidRPr="00D41EA8">
        <w:t xml:space="preserve"> </w:t>
      </w:r>
      <w:r w:rsidR="000300A6">
        <w:t>[</w:t>
      </w:r>
      <w:r w:rsidRPr="00D41EA8">
        <w:rPr>
          <w:i/>
        </w:rPr>
        <w:t>‘ASHE’</w:t>
      </w:r>
      <w:r w:rsidR="000300A6">
        <w:t>]</w:t>
      </w:r>
      <w:r w:rsidRPr="00D41EA8">
        <w:t xml:space="preserve"> published by the ONS. The original relevant percentile </w:t>
      </w:r>
      <w:r w:rsidR="008776C2">
        <w:t>is</w:t>
      </w:r>
      <w:r w:rsidRPr="00D41EA8">
        <w:t>:</w:t>
      </w:r>
    </w:p>
    <w:p w14:paraId="7859BA7C" w14:textId="77777777" w:rsidR="003D7E17" w:rsidRPr="00D41EA8" w:rsidRDefault="003D7E17" w:rsidP="003D7E17">
      <w:pPr>
        <w:tabs>
          <w:tab w:val="left" w:pos="840"/>
          <w:tab w:val="left" w:pos="1800"/>
        </w:tabs>
        <w:spacing w:after="400" w:line="480" w:lineRule="auto"/>
        <w:ind w:left="840" w:hanging="840"/>
        <w:jc w:val="both"/>
      </w:pPr>
      <w:r w:rsidRPr="00D41EA8">
        <w:t>2.1</w:t>
      </w:r>
      <w:r w:rsidRPr="00D41EA8">
        <w:tab/>
      </w:r>
      <w:r w:rsidR="008776C2">
        <w:t>The 80</w:t>
      </w:r>
      <w:r w:rsidR="008776C2" w:rsidRPr="004872DE">
        <w:rPr>
          <w:vertAlign w:val="superscript"/>
        </w:rPr>
        <w:t>th</w:t>
      </w:r>
      <w:r w:rsidRPr="00D41EA8">
        <w:t xml:space="preserve"> percentile shall be applied to paragraphs </w:t>
      </w:r>
      <w:r w:rsidR="008776C2">
        <w:t>1.1 and 1.2</w:t>
      </w:r>
      <w:r w:rsidRPr="00D41EA8">
        <w:t xml:space="preserve"> above</w:t>
      </w:r>
    </w:p>
    <w:p w14:paraId="25540EE6" w14:textId="77777777" w:rsidR="003D7E17" w:rsidRDefault="003D7E17" w:rsidP="003D7E17">
      <w:pPr>
        <w:tabs>
          <w:tab w:val="left" w:pos="840"/>
          <w:tab w:val="left" w:pos="1800"/>
        </w:tabs>
        <w:spacing w:after="400" w:line="480" w:lineRule="auto"/>
        <w:ind w:left="840" w:hanging="840"/>
        <w:jc w:val="both"/>
      </w:pPr>
    </w:p>
    <w:p w14:paraId="24CC5E1B" w14:textId="77777777" w:rsidR="00991069" w:rsidRPr="00D41EA8" w:rsidRDefault="00991069" w:rsidP="003D7E17">
      <w:pPr>
        <w:tabs>
          <w:tab w:val="left" w:pos="840"/>
          <w:tab w:val="left" w:pos="1800"/>
        </w:tabs>
        <w:spacing w:after="400" w:line="480" w:lineRule="auto"/>
        <w:ind w:left="840" w:hanging="840"/>
        <w:jc w:val="both"/>
      </w:pPr>
    </w:p>
    <w:p w14:paraId="4F42EF66" w14:textId="77777777" w:rsidR="003D7E17" w:rsidRPr="00D41EA8" w:rsidRDefault="003D7E17" w:rsidP="003D7E17">
      <w:pPr>
        <w:tabs>
          <w:tab w:val="left" w:pos="720"/>
          <w:tab w:val="left" w:pos="840"/>
          <w:tab w:val="left" w:pos="1800"/>
        </w:tabs>
        <w:spacing w:after="400" w:line="480" w:lineRule="auto"/>
        <w:ind w:left="840" w:hanging="840"/>
        <w:jc w:val="both"/>
        <w:rPr>
          <w:b/>
          <w:u w:val="single"/>
        </w:rPr>
      </w:pPr>
      <w:r w:rsidRPr="00D41EA8">
        <w:rPr>
          <w:b/>
          <w:u w:val="single"/>
        </w:rPr>
        <w:lastRenderedPageBreak/>
        <w:t>First payment of periodical payments under each step</w:t>
      </w:r>
    </w:p>
    <w:p w14:paraId="55E701BB" w14:textId="77777777" w:rsidR="003D7E17" w:rsidRPr="00D41EA8" w:rsidRDefault="003D7E17" w:rsidP="003D7E17">
      <w:pPr>
        <w:numPr>
          <w:ilvl w:val="0"/>
          <w:numId w:val="9"/>
        </w:numPr>
        <w:tabs>
          <w:tab w:val="clear" w:pos="360"/>
          <w:tab w:val="num" w:pos="840"/>
        </w:tabs>
        <w:spacing w:after="400" w:line="480" w:lineRule="auto"/>
        <w:ind w:left="840" w:hanging="840"/>
        <w:jc w:val="both"/>
      </w:pPr>
      <w:r w:rsidRPr="00D41EA8">
        <w:t xml:space="preserve">Unless paragraphs 5-10 below apply, the annual periodical payments referred to in paragraph </w:t>
      </w:r>
      <w:r w:rsidRPr="004872DE">
        <w:rPr>
          <w:iCs/>
        </w:rPr>
        <w:t>1.1 to 1.</w:t>
      </w:r>
      <w:r w:rsidR="008776C2" w:rsidRPr="004872DE">
        <w:rPr>
          <w:iCs/>
        </w:rPr>
        <w:t>2</w:t>
      </w:r>
      <w:r w:rsidRPr="00D41EA8">
        <w:t xml:space="preserve"> above shall be recalculated in November prior to payment on the 15</w:t>
      </w:r>
      <w:r w:rsidRPr="00D41EA8">
        <w:rPr>
          <w:vertAlign w:val="superscript"/>
        </w:rPr>
        <w:t>th</w:t>
      </w:r>
      <w:r w:rsidRPr="00D41EA8">
        <w:t xml:space="preserve"> </w:t>
      </w:r>
      <w:r w:rsidR="002556F6">
        <w:t xml:space="preserve">of </w:t>
      </w:r>
      <w:r w:rsidRPr="00D41EA8">
        <w:t xml:space="preserve">December of the same year from November </w:t>
      </w:r>
      <w:r w:rsidR="008776C2">
        <w:t>2022</w:t>
      </w:r>
      <w:r w:rsidRPr="00D41EA8">
        <w:t xml:space="preserve"> in accordance with the following formula</w:t>
      </w:r>
    </w:p>
    <w:p w14:paraId="1A3A4F6F" w14:textId="77777777" w:rsidR="003D7E17" w:rsidRPr="00D41EA8" w:rsidRDefault="003D7E17" w:rsidP="003D7E17">
      <w:pPr>
        <w:tabs>
          <w:tab w:val="left" w:pos="840"/>
          <w:tab w:val="left" w:pos="1800"/>
        </w:tabs>
        <w:spacing w:after="400" w:line="480" w:lineRule="auto"/>
        <w:ind w:left="840"/>
        <w:jc w:val="both"/>
      </w:pPr>
      <w:r w:rsidRPr="00D41EA8">
        <w:rPr>
          <w:position w:val="-24"/>
        </w:rPr>
        <w:object w:dxaOrig="1380" w:dyaOrig="620" w14:anchorId="7D7360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30.75pt" o:ole="">
            <v:imagedata r:id="rId8" o:title=""/>
          </v:shape>
          <o:OLEObject Type="Embed" ProgID="Equation.3" ShapeID="_x0000_i1025" DrawAspect="Content" ObjectID="_1695109589" r:id="rId9"/>
        </w:object>
      </w:r>
    </w:p>
    <w:p w14:paraId="4A060966" w14:textId="77777777" w:rsidR="003D7E17" w:rsidRPr="00D41EA8" w:rsidRDefault="003D7E17" w:rsidP="003D7E17">
      <w:pPr>
        <w:tabs>
          <w:tab w:val="left" w:pos="840"/>
          <w:tab w:val="left" w:pos="1800"/>
        </w:tabs>
        <w:spacing w:after="400" w:line="480" w:lineRule="auto"/>
        <w:ind w:left="840" w:hanging="840"/>
        <w:jc w:val="both"/>
      </w:pPr>
      <w:r w:rsidRPr="00D41EA8">
        <w:t>3.1</w:t>
      </w:r>
      <w:r w:rsidRPr="00D41EA8">
        <w:tab/>
        <w:t>Where</w:t>
      </w:r>
    </w:p>
    <w:p w14:paraId="64A3711C" w14:textId="77777777" w:rsidR="003D7E17" w:rsidRPr="00D41EA8" w:rsidRDefault="003D7E17" w:rsidP="003D7E17">
      <w:pPr>
        <w:tabs>
          <w:tab w:val="left" w:pos="360"/>
          <w:tab w:val="left" w:pos="840"/>
          <w:tab w:val="left" w:pos="1800"/>
        </w:tabs>
        <w:spacing w:after="400" w:line="480" w:lineRule="auto"/>
        <w:ind w:left="840" w:hanging="840"/>
        <w:jc w:val="both"/>
      </w:pPr>
      <w:r w:rsidRPr="00D41EA8">
        <w:t>3.1.1</w:t>
      </w:r>
      <w:r w:rsidRPr="00D41EA8">
        <w:tab/>
      </w:r>
      <w:r w:rsidRPr="00D41EA8">
        <w:rPr>
          <w:i/>
        </w:rPr>
        <w:t>‘PP’</w:t>
      </w:r>
      <w:r w:rsidRPr="00D41EA8">
        <w:t xml:space="preserve"> = the amount payable by way of periodical payment in each year being calculated in November and paid on the 15</w:t>
      </w:r>
      <w:r w:rsidRPr="00D41EA8">
        <w:rPr>
          <w:vertAlign w:val="superscript"/>
        </w:rPr>
        <w:t>th</w:t>
      </w:r>
      <w:r w:rsidRPr="00D41EA8">
        <w:t xml:space="preserve"> of December the first </w:t>
      </w:r>
      <w:r w:rsidRPr="00D41EA8">
        <w:rPr>
          <w:i/>
        </w:rPr>
        <w:t>‘PP’</w:t>
      </w:r>
      <w:r w:rsidRPr="00D41EA8">
        <w:t xml:space="preserve"> being the payment on the 15</w:t>
      </w:r>
      <w:r w:rsidRPr="00D41EA8">
        <w:rPr>
          <w:vertAlign w:val="superscript"/>
        </w:rPr>
        <w:t>th</w:t>
      </w:r>
      <w:r w:rsidRPr="00D41EA8">
        <w:t xml:space="preserve"> of December </w:t>
      </w:r>
      <w:r w:rsidR="008776C2">
        <w:t>2022</w:t>
      </w:r>
    </w:p>
    <w:p w14:paraId="6D371DF4" w14:textId="77777777" w:rsidR="003D7E17" w:rsidRPr="00D41EA8" w:rsidRDefault="003D7E17" w:rsidP="003D7E17">
      <w:pPr>
        <w:tabs>
          <w:tab w:val="left" w:pos="360"/>
          <w:tab w:val="left" w:pos="840"/>
          <w:tab w:val="left" w:pos="1800"/>
        </w:tabs>
        <w:spacing w:after="400" w:line="480" w:lineRule="auto"/>
        <w:ind w:left="840" w:hanging="840"/>
        <w:jc w:val="both"/>
      </w:pPr>
      <w:r w:rsidRPr="00D41EA8">
        <w:t>3.1.2</w:t>
      </w:r>
      <w:r w:rsidRPr="00D41EA8">
        <w:tab/>
      </w:r>
      <w:r w:rsidRPr="00D41EA8">
        <w:rPr>
          <w:i/>
        </w:rPr>
        <w:t>‘C’</w:t>
      </w:r>
      <w:r w:rsidRPr="00D41EA8">
        <w:t xml:space="preserve"> = the relevant annual sum set out in paragraph </w:t>
      </w:r>
      <w:r w:rsidRPr="004872DE">
        <w:rPr>
          <w:iCs/>
        </w:rPr>
        <w:t>1.1 to 1.</w:t>
      </w:r>
      <w:r w:rsidR="008776C2" w:rsidRPr="004872DE">
        <w:rPr>
          <w:iCs/>
        </w:rPr>
        <w:t>2</w:t>
      </w:r>
      <w:r w:rsidRPr="00D41EA8">
        <w:t xml:space="preserve"> above respectively</w:t>
      </w:r>
    </w:p>
    <w:p w14:paraId="76851139" w14:textId="77777777" w:rsidR="003D7E17" w:rsidRPr="00D41EA8" w:rsidRDefault="003D7E17" w:rsidP="003D7E17">
      <w:pPr>
        <w:tabs>
          <w:tab w:val="left" w:pos="360"/>
          <w:tab w:val="left" w:pos="840"/>
          <w:tab w:val="left" w:pos="1800"/>
        </w:tabs>
        <w:spacing w:after="400" w:line="480" w:lineRule="auto"/>
        <w:ind w:left="840" w:hanging="840"/>
        <w:jc w:val="both"/>
      </w:pPr>
      <w:r w:rsidRPr="00D41EA8">
        <w:t>3.1.3</w:t>
      </w:r>
      <w:r w:rsidRPr="00D41EA8">
        <w:tab/>
      </w:r>
      <w:r w:rsidRPr="00D41EA8">
        <w:rPr>
          <w:i/>
        </w:rPr>
        <w:t>‘NP’</w:t>
      </w:r>
      <w:r w:rsidRPr="00D41EA8">
        <w:t xml:space="preserve"> = the “</w:t>
      </w:r>
      <w:r w:rsidRPr="00D41EA8">
        <w:rPr>
          <w:i/>
        </w:rPr>
        <w:t>first release</w:t>
      </w:r>
      <w:r w:rsidRPr="00D41EA8">
        <w:t>” hourly gross wage rate published by the ONS for the relevant percentile of ASHE SOC 6115 for “</w:t>
      </w:r>
      <w:r w:rsidRPr="00D41EA8">
        <w:rPr>
          <w:i/>
        </w:rPr>
        <w:t>all</w:t>
      </w:r>
      <w:r w:rsidRPr="00D41EA8">
        <w:t xml:space="preserve">” employees for the year in which the calculation is being carried out, the first </w:t>
      </w:r>
      <w:r w:rsidRPr="00D41EA8">
        <w:rPr>
          <w:i/>
        </w:rPr>
        <w:t>NP</w:t>
      </w:r>
      <w:r w:rsidRPr="00D41EA8">
        <w:t xml:space="preserve"> being the figure applicable to the year </w:t>
      </w:r>
      <w:r w:rsidR="008776C2">
        <w:t xml:space="preserve">2022 </w:t>
      </w:r>
      <w:r w:rsidRPr="00D41EA8">
        <w:t xml:space="preserve">published in or around October </w:t>
      </w:r>
      <w:r w:rsidR="008776C2">
        <w:t>2022</w:t>
      </w:r>
    </w:p>
    <w:p w14:paraId="69F2B403" w14:textId="77777777" w:rsidR="003D7E17" w:rsidRDefault="003D7E17" w:rsidP="003D7E17">
      <w:pPr>
        <w:tabs>
          <w:tab w:val="left" w:pos="360"/>
          <w:tab w:val="left" w:pos="840"/>
          <w:tab w:val="left" w:pos="1800"/>
        </w:tabs>
        <w:spacing w:after="400" w:line="480" w:lineRule="auto"/>
        <w:ind w:left="840" w:hanging="840"/>
        <w:jc w:val="both"/>
      </w:pPr>
      <w:r w:rsidRPr="00D41EA8">
        <w:t>3.1.4</w:t>
      </w:r>
      <w:r w:rsidRPr="00D41EA8">
        <w:tab/>
      </w:r>
      <w:r w:rsidRPr="00D41EA8">
        <w:rPr>
          <w:i/>
        </w:rPr>
        <w:t>‘A’</w:t>
      </w:r>
      <w:r w:rsidRPr="00D41EA8">
        <w:t xml:space="preserve"> = the “</w:t>
      </w:r>
      <w:r w:rsidRPr="00D41EA8">
        <w:rPr>
          <w:i/>
        </w:rPr>
        <w:t>revised</w:t>
      </w:r>
      <w:r w:rsidRPr="00D41EA8">
        <w:t xml:space="preserve">” hourly gross wage rate for the relevant percentile of ASHE SOC 6115 for all employees applicable to </w:t>
      </w:r>
      <w:r w:rsidR="008776C2">
        <w:t>2021</w:t>
      </w:r>
      <w:r w:rsidRPr="00D41EA8">
        <w:t xml:space="preserve"> and published by the ONS in or around October </w:t>
      </w:r>
      <w:r w:rsidR="008776C2">
        <w:t>2022</w:t>
      </w:r>
      <w:r w:rsidRPr="00D41EA8">
        <w:t>. In the event of a correction by the ONS it will be the replacement “</w:t>
      </w:r>
      <w:r w:rsidRPr="00D41EA8">
        <w:rPr>
          <w:i/>
        </w:rPr>
        <w:t>revised</w:t>
      </w:r>
      <w:r w:rsidRPr="00D41EA8">
        <w:t>” figure issued by the ONS</w:t>
      </w:r>
    </w:p>
    <w:p w14:paraId="1EF0BE1E" w14:textId="77777777" w:rsidR="003D7E17" w:rsidRPr="00D41EA8" w:rsidRDefault="003D7E17" w:rsidP="003D7E17">
      <w:pPr>
        <w:tabs>
          <w:tab w:val="left" w:pos="360"/>
          <w:tab w:val="left" w:pos="1800"/>
        </w:tabs>
        <w:spacing w:after="400" w:line="480" w:lineRule="auto"/>
        <w:ind w:left="720" w:hanging="720"/>
        <w:jc w:val="both"/>
        <w:rPr>
          <w:b/>
          <w:u w:val="single"/>
        </w:rPr>
      </w:pPr>
      <w:r w:rsidRPr="00D41EA8">
        <w:rPr>
          <w:b/>
          <w:u w:val="single"/>
        </w:rPr>
        <w:lastRenderedPageBreak/>
        <w:t>Subsequent payment of periodical payments under each step</w:t>
      </w:r>
    </w:p>
    <w:p w14:paraId="14BA5560" w14:textId="77777777" w:rsidR="003D7E17" w:rsidRPr="00D41EA8" w:rsidRDefault="003D7E17" w:rsidP="003D7E17">
      <w:pPr>
        <w:numPr>
          <w:ilvl w:val="0"/>
          <w:numId w:val="9"/>
        </w:numPr>
        <w:tabs>
          <w:tab w:val="clear" w:pos="360"/>
          <w:tab w:val="num" w:pos="840"/>
        </w:tabs>
        <w:spacing w:after="400" w:line="480" w:lineRule="auto"/>
        <w:ind w:left="840" w:hanging="840"/>
        <w:jc w:val="both"/>
      </w:pPr>
      <w:r w:rsidRPr="00D41EA8">
        <w:t xml:space="preserve">Unless paragraphs 5-10 below apply, the annual periodical payments referred to in paragraph </w:t>
      </w:r>
      <w:r w:rsidRPr="004872DE">
        <w:rPr>
          <w:iCs/>
        </w:rPr>
        <w:t>1.1 to 1</w:t>
      </w:r>
      <w:r w:rsidR="008776C2" w:rsidRPr="004872DE">
        <w:rPr>
          <w:iCs/>
        </w:rPr>
        <w:t>2</w:t>
      </w:r>
      <w:r w:rsidRPr="00D41EA8">
        <w:t xml:space="preserve"> above shall be recalculated annually in subsequent years in November in each year prior to payment on the 15</w:t>
      </w:r>
      <w:r w:rsidRPr="00D41EA8">
        <w:rPr>
          <w:vertAlign w:val="superscript"/>
        </w:rPr>
        <w:t>th</w:t>
      </w:r>
      <w:r w:rsidRPr="00D41EA8">
        <w:t xml:space="preserve"> </w:t>
      </w:r>
      <w:r w:rsidR="002556F6">
        <w:t xml:space="preserve">of </w:t>
      </w:r>
      <w:r w:rsidRPr="00D41EA8">
        <w:t xml:space="preserve">December of the same year from November </w:t>
      </w:r>
      <w:r w:rsidR="008776C2">
        <w:t>2023</w:t>
      </w:r>
      <w:r w:rsidRPr="00D41EA8">
        <w:t xml:space="preserve"> in accordance with the following formula </w:t>
      </w:r>
    </w:p>
    <w:p w14:paraId="4B69FA7F" w14:textId="77777777" w:rsidR="003D7E17" w:rsidRPr="00D41EA8" w:rsidRDefault="003D7E17" w:rsidP="003D7E17">
      <w:pPr>
        <w:tabs>
          <w:tab w:val="left" w:pos="1080"/>
          <w:tab w:val="left" w:pos="1800"/>
        </w:tabs>
        <w:spacing w:after="400" w:line="480" w:lineRule="auto"/>
        <w:ind w:left="840"/>
        <w:jc w:val="both"/>
      </w:pPr>
      <w:r w:rsidRPr="00D41EA8">
        <w:rPr>
          <w:position w:val="-24"/>
        </w:rPr>
        <w:object w:dxaOrig="2600" w:dyaOrig="620" w14:anchorId="4E3A534E">
          <v:shape id="_x0000_i1026" type="#_x0000_t75" style="width:129.75pt;height:30.75pt" o:ole="">
            <v:imagedata r:id="rId10" o:title=""/>
          </v:shape>
          <o:OLEObject Type="Embed" ProgID="Equation.3" ShapeID="_x0000_i1026" DrawAspect="Content" ObjectID="_1695109590" r:id="rId11"/>
        </w:object>
      </w:r>
    </w:p>
    <w:p w14:paraId="3BBBC3F0" w14:textId="77777777" w:rsidR="003D7E17" w:rsidRPr="00D41EA8" w:rsidRDefault="003D7E17" w:rsidP="003D7E17">
      <w:pPr>
        <w:tabs>
          <w:tab w:val="left" w:pos="840"/>
          <w:tab w:val="left" w:pos="1800"/>
        </w:tabs>
        <w:spacing w:after="400" w:line="480" w:lineRule="auto"/>
        <w:ind w:left="840" w:hanging="840"/>
        <w:jc w:val="both"/>
      </w:pPr>
      <w:r w:rsidRPr="00D41EA8">
        <w:t>4.1</w:t>
      </w:r>
      <w:r w:rsidRPr="00D41EA8">
        <w:tab/>
        <w:t>Where in addition to the definitions previously set out</w:t>
      </w:r>
    </w:p>
    <w:p w14:paraId="2D5893F2" w14:textId="77777777" w:rsidR="003D7E17" w:rsidRPr="00D41EA8" w:rsidRDefault="003D7E17" w:rsidP="003D7E17">
      <w:pPr>
        <w:tabs>
          <w:tab w:val="left" w:pos="840"/>
          <w:tab w:val="left" w:pos="1800"/>
        </w:tabs>
        <w:spacing w:after="400" w:line="480" w:lineRule="auto"/>
        <w:ind w:left="840" w:hanging="840"/>
        <w:jc w:val="both"/>
      </w:pPr>
      <w:r w:rsidRPr="00D41EA8">
        <w:t>4.1.1</w:t>
      </w:r>
      <w:r w:rsidRPr="00D41EA8">
        <w:tab/>
      </w:r>
      <w:r w:rsidRPr="00D41EA8">
        <w:rPr>
          <w:i/>
        </w:rPr>
        <w:t>‘NF’</w:t>
      </w:r>
      <w:r w:rsidRPr="00D41EA8">
        <w:t xml:space="preserve"> = the “</w:t>
      </w:r>
      <w:r w:rsidRPr="00D41EA8">
        <w:rPr>
          <w:i/>
        </w:rPr>
        <w:t>revised</w:t>
      </w:r>
      <w:r w:rsidRPr="00D41EA8">
        <w:t>” hourly gross wage rate published by the ONS for the relevant percentile of ASHE SOC 6115 for “</w:t>
      </w:r>
      <w:r w:rsidRPr="00D41EA8">
        <w:rPr>
          <w:i/>
        </w:rPr>
        <w:t>all</w:t>
      </w:r>
      <w:r w:rsidRPr="00D41EA8">
        <w:t xml:space="preserve">” employees for the year prior to the year in which the calculation is being carried out, the first </w:t>
      </w:r>
      <w:r w:rsidRPr="00D41EA8">
        <w:rPr>
          <w:i/>
        </w:rPr>
        <w:t>NF</w:t>
      </w:r>
      <w:r w:rsidRPr="00D41EA8">
        <w:t xml:space="preserve"> being that applicable to the year </w:t>
      </w:r>
      <w:r w:rsidR="008776C2">
        <w:t>2022</w:t>
      </w:r>
      <w:r w:rsidRPr="00D41EA8">
        <w:t xml:space="preserve"> and published in or around October </w:t>
      </w:r>
      <w:r w:rsidR="008776C2">
        <w:t>2023</w:t>
      </w:r>
    </w:p>
    <w:p w14:paraId="3A3088E0" w14:textId="77777777" w:rsidR="003D7E17" w:rsidRPr="00D41EA8" w:rsidRDefault="003D7E17" w:rsidP="003D7E17">
      <w:pPr>
        <w:tabs>
          <w:tab w:val="left" w:pos="360"/>
          <w:tab w:val="left" w:pos="840"/>
          <w:tab w:val="left" w:pos="1800"/>
        </w:tabs>
        <w:spacing w:after="400" w:line="480" w:lineRule="auto"/>
        <w:ind w:left="840" w:hanging="840"/>
        <w:jc w:val="both"/>
      </w:pPr>
      <w:r w:rsidRPr="00D41EA8">
        <w:t>4.1.2</w:t>
      </w:r>
      <w:r w:rsidRPr="00D41EA8">
        <w:tab/>
      </w:r>
      <w:r w:rsidRPr="00D41EA8">
        <w:rPr>
          <w:i/>
        </w:rPr>
        <w:t>‘OP’</w:t>
      </w:r>
      <w:r w:rsidRPr="00D41EA8">
        <w:t xml:space="preserve"> = the “</w:t>
      </w:r>
      <w:r w:rsidRPr="00D41EA8">
        <w:rPr>
          <w:i/>
        </w:rPr>
        <w:t>first release</w:t>
      </w:r>
      <w:r w:rsidRPr="00D41EA8">
        <w:t>” hourly gross wage rate published by the ONS for the relevant percentile of ASHE SOC 6115 for “</w:t>
      </w:r>
      <w:r w:rsidRPr="00D41EA8">
        <w:rPr>
          <w:i/>
        </w:rPr>
        <w:t>all</w:t>
      </w:r>
      <w:r w:rsidRPr="00D41EA8">
        <w:t xml:space="preserve">” employees for the year prior to the year in which the calculation is being carried out, the first </w:t>
      </w:r>
      <w:r w:rsidRPr="00D41EA8">
        <w:rPr>
          <w:i/>
        </w:rPr>
        <w:t>OP</w:t>
      </w:r>
      <w:r w:rsidRPr="00D41EA8">
        <w:t xml:space="preserve"> being the figure applicable to the year </w:t>
      </w:r>
      <w:r w:rsidR="008776C2">
        <w:t>2022</w:t>
      </w:r>
      <w:r w:rsidRPr="00D41EA8">
        <w:t xml:space="preserve"> publis</w:t>
      </w:r>
      <w:r w:rsidR="002556F6">
        <w:t xml:space="preserve">hed in or around October </w:t>
      </w:r>
      <w:r w:rsidR="008776C2">
        <w:t>2022</w:t>
      </w:r>
    </w:p>
    <w:p w14:paraId="72FFCAAB" w14:textId="77777777" w:rsidR="003D7E17" w:rsidRPr="00D41EA8" w:rsidRDefault="003D7E17" w:rsidP="003D7E17">
      <w:pPr>
        <w:tabs>
          <w:tab w:val="left" w:pos="720"/>
          <w:tab w:val="left" w:pos="1800"/>
        </w:tabs>
        <w:spacing w:after="400" w:line="480" w:lineRule="auto"/>
        <w:ind w:left="720" w:hanging="720"/>
        <w:jc w:val="both"/>
        <w:rPr>
          <w:b/>
          <w:u w:val="single"/>
        </w:rPr>
      </w:pPr>
      <w:r w:rsidRPr="00D41EA8">
        <w:rPr>
          <w:b/>
          <w:u w:val="single"/>
        </w:rPr>
        <w:t>Payments upon reclassification of the SOC or a change of methodology by the ONS</w:t>
      </w:r>
    </w:p>
    <w:p w14:paraId="5A0F0565" w14:textId="77777777" w:rsidR="006E4F22" w:rsidRPr="00D41EA8" w:rsidRDefault="003D7E17" w:rsidP="006E4F22">
      <w:pPr>
        <w:tabs>
          <w:tab w:val="left" w:pos="840"/>
          <w:tab w:val="left" w:pos="1800"/>
        </w:tabs>
        <w:spacing w:after="400" w:line="480" w:lineRule="auto"/>
        <w:ind w:left="840" w:hanging="840"/>
        <w:jc w:val="both"/>
      </w:pPr>
      <w:r w:rsidRPr="00D41EA8">
        <w:t>5</w:t>
      </w:r>
      <w:r w:rsidRPr="00D41EA8">
        <w:tab/>
      </w:r>
      <w:r w:rsidR="006E4F22" w:rsidRPr="00D41EA8">
        <w:t xml:space="preserve">Reclassification for the purposes of paragraphs 6-9 below, </w:t>
      </w:r>
      <w:r w:rsidR="006E4F22" w:rsidRPr="006E4F22">
        <w:t>and subject to paragraph 6.1.2,</w:t>
      </w:r>
      <w:r w:rsidR="006E4F22" w:rsidRPr="00D41EA8">
        <w:t xml:space="preserve"> occurs when the ONS publishes for the same year “</w:t>
      </w:r>
      <w:r w:rsidR="006E4F22" w:rsidRPr="00D41EA8">
        <w:rPr>
          <w:i/>
        </w:rPr>
        <w:t>revised</w:t>
      </w:r>
      <w:r w:rsidR="006E4F22" w:rsidRPr="00D41EA8">
        <w:t>” hourly gross wage rates for both:</w:t>
      </w:r>
    </w:p>
    <w:p w14:paraId="0D4ED686" w14:textId="77777777" w:rsidR="006E4F22" w:rsidRPr="00D41EA8" w:rsidRDefault="006E4F22" w:rsidP="006E4F22">
      <w:pPr>
        <w:tabs>
          <w:tab w:val="left" w:pos="840"/>
          <w:tab w:val="left" w:pos="1800"/>
        </w:tabs>
        <w:spacing w:after="400" w:line="480" w:lineRule="auto"/>
        <w:ind w:left="840" w:hanging="840"/>
        <w:jc w:val="both"/>
      </w:pPr>
      <w:r w:rsidRPr="00D41EA8">
        <w:lastRenderedPageBreak/>
        <w:t>5.1</w:t>
      </w:r>
      <w:r w:rsidRPr="00D41EA8">
        <w:tab/>
        <w:t>the previously applied SOC (for which the “</w:t>
      </w:r>
      <w:r w:rsidRPr="00D41EA8">
        <w:rPr>
          <w:i/>
        </w:rPr>
        <w:t>revised</w:t>
      </w:r>
      <w:r w:rsidRPr="00D41EA8">
        <w:t>” wage rate is defined as ‘</w:t>
      </w:r>
      <w:r w:rsidRPr="00D41EA8">
        <w:rPr>
          <w:i/>
        </w:rPr>
        <w:t>AF’</w:t>
      </w:r>
      <w:r w:rsidRPr="00D41EA8">
        <w:t xml:space="preserve"> in paragraph 6.1.1 below) and </w:t>
      </w:r>
    </w:p>
    <w:p w14:paraId="24889C90" w14:textId="77777777" w:rsidR="006E4F22" w:rsidRPr="00D41EA8" w:rsidRDefault="006E4F22" w:rsidP="006E4F22">
      <w:pPr>
        <w:tabs>
          <w:tab w:val="left" w:pos="840"/>
          <w:tab w:val="left" w:pos="1800"/>
        </w:tabs>
        <w:spacing w:after="400" w:line="480" w:lineRule="auto"/>
        <w:ind w:left="840" w:hanging="840"/>
        <w:jc w:val="both"/>
      </w:pPr>
      <w:r w:rsidRPr="00D41EA8">
        <w:t>5.2</w:t>
      </w:r>
      <w:r w:rsidRPr="00D41EA8">
        <w:tab/>
        <w:t>for a new SOC (for which the “</w:t>
      </w:r>
      <w:r w:rsidRPr="00D41EA8">
        <w:rPr>
          <w:i/>
        </w:rPr>
        <w:t>revised</w:t>
      </w:r>
      <w:r w:rsidRPr="00D41EA8">
        <w:t>”</w:t>
      </w:r>
      <w:r w:rsidRPr="00D41EA8">
        <w:rPr>
          <w:i/>
        </w:rPr>
        <w:t xml:space="preserve"> </w:t>
      </w:r>
      <w:r w:rsidRPr="00D41EA8">
        <w:t>wage rate is defined as ‘</w:t>
      </w:r>
      <w:r w:rsidRPr="00D41EA8">
        <w:rPr>
          <w:i/>
        </w:rPr>
        <w:t xml:space="preserve">AR’ </w:t>
      </w:r>
      <w:r w:rsidRPr="00D41EA8">
        <w:t>in paragraph 7.1.4 below) that includes those currently defined as “</w:t>
      </w:r>
      <w:r w:rsidRPr="00D41EA8">
        <w:rPr>
          <w:i/>
        </w:rPr>
        <w:t>home carers</w:t>
      </w:r>
      <w:r w:rsidRPr="00D41EA8">
        <w:t>” in ASHE SOC 6115</w:t>
      </w:r>
    </w:p>
    <w:p w14:paraId="27EAF789" w14:textId="77777777" w:rsidR="006E4F22" w:rsidRPr="006E4F22" w:rsidRDefault="006E4F22" w:rsidP="006E4F22">
      <w:pPr>
        <w:tabs>
          <w:tab w:val="left" w:pos="840"/>
          <w:tab w:val="left" w:pos="1800"/>
        </w:tabs>
        <w:spacing w:after="400" w:line="480" w:lineRule="auto"/>
        <w:ind w:left="840" w:hanging="840"/>
        <w:jc w:val="both"/>
      </w:pPr>
      <w:r w:rsidRPr="00D41EA8">
        <w:tab/>
      </w:r>
      <w:r w:rsidRPr="006E4F22">
        <w:t>Or alternatively, where the ONS publishes AR for a new SOC that includes those currently defined as “home carers” in the previously applied SOC but does not publish AF for the same year, then reclassification is nonet</w:t>
      </w:r>
      <w:r w:rsidR="002556F6">
        <w:t>heless deemed to have occurred</w:t>
      </w:r>
    </w:p>
    <w:p w14:paraId="7C271796" w14:textId="77777777" w:rsidR="006E4F22" w:rsidRPr="006E4F22" w:rsidRDefault="006E4F22" w:rsidP="006E4F22">
      <w:pPr>
        <w:tabs>
          <w:tab w:val="left" w:pos="840"/>
          <w:tab w:val="left" w:pos="1800"/>
        </w:tabs>
        <w:spacing w:after="400" w:line="480" w:lineRule="auto"/>
        <w:ind w:left="840" w:hanging="840"/>
        <w:jc w:val="both"/>
      </w:pPr>
      <w:r w:rsidRPr="006E4F22">
        <w:tab/>
        <w:t>Unless the Court otherwise orders pursuant to paragraph 11 below, in either eve</w:t>
      </w:r>
      <w:r w:rsidR="002556F6">
        <w:t>nt the new SOC shall be applied</w:t>
      </w:r>
    </w:p>
    <w:p w14:paraId="02C0C703" w14:textId="77777777" w:rsidR="006E4F22" w:rsidRPr="00D41EA8" w:rsidRDefault="006E4F22" w:rsidP="006E4F22">
      <w:pPr>
        <w:tabs>
          <w:tab w:val="left" w:pos="840"/>
          <w:tab w:val="left" w:pos="1800"/>
        </w:tabs>
        <w:spacing w:after="400" w:line="480" w:lineRule="auto"/>
        <w:ind w:left="840" w:hanging="840"/>
        <w:jc w:val="both"/>
      </w:pPr>
      <w:r w:rsidRPr="00D41EA8">
        <w:t>6</w:t>
      </w:r>
      <w:r w:rsidRPr="00D41EA8">
        <w:tab/>
        <w:t xml:space="preserve">The relevant annual sum referable to the sums at paragraph </w:t>
      </w:r>
      <w:r w:rsidRPr="004872DE">
        <w:rPr>
          <w:iCs/>
        </w:rPr>
        <w:t>1.1 to 1.</w:t>
      </w:r>
      <w:r w:rsidR="008776C2" w:rsidRPr="004872DE">
        <w:rPr>
          <w:iCs/>
        </w:rPr>
        <w:t>2</w:t>
      </w:r>
      <w:r w:rsidRPr="00D41EA8">
        <w:t xml:space="preserve"> above following reclassification shall be known as </w:t>
      </w:r>
      <w:r w:rsidRPr="00D41EA8">
        <w:rPr>
          <w:i/>
        </w:rPr>
        <w:t>‘CR’</w:t>
      </w:r>
      <w:r w:rsidRPr="00D41EA8">
        <w:t xml:space="preserve"> and shall be calculated only in each year of reclassification, in accordance with the following formula</w:t>
      </w:r>
    </w:p>
    <w:p w14:paraId="389F78C2" w14:textId="77777777" w:rsidR="006E4F22" w:rsidRPr="00D41EA8" w:rsidRDefault="006E4F22" w:rsidP="006E4F22">
      <w:pPr>
        <w:tabs>
          <w:tab w:val="left" w:pos="1800"/>
        </w:tabs>
        <w:spacing w:after="400" w:line="360" w:lineRule="auto"/>
        <w:ind w:left="840"/>
        <w:jc w:val="both"/>
      </w:pPr>
      <w:r w:rsidRPr="00D41EA8">
        <w:rPr>
          <w:i/>
          <w:position w:val="-24"/>
        </w:rPr>
        <w:object w:dxaOrig="1359" w:dyaOrig="620" w14:anchorId="2E9AC867">
          <v:shape id="_x0000_i1027" type="#_x0000_t75" style="width:67.5pt;height:30.75pt" o:ole="">
            <v:imagedata r:id="rId12" o:title=""/>
          </v:shape>
          <o:OLEObject Type="Embed" ProgID="Equation.3" ShapeID="_x0000_i1027" DrawAspect="Content" ObjectID="_1695109591" r:id="rId13"/>
        </w:object>
      </w:r>
    </w:p>
    <w:p w14:paraId="58E88CEF" w14:textId="77777777" w:rsidR="006E4F22" w:rsidRPr="00D41EA8" w:rsidRDefault="006E4F22" w:rsidP="006E4F22">
      <w:pPr>
        <w:tabs>
          <w:tab w:val="left" w:pos="840"/>
          <w:tab w:val="left" w:pos="1800"/>
        </w:tabs>
        <w:spacing w:after="400" w:line="360" w:lineRule="auto"/>
        <w:jc w:val="both"/>
      </w:pPr>
      <w:r w:rsidRPr="00D41EA8">
        <w:t>6.1</w:t>
      </w:r>
      <w:r w:rsidRPr="00D41EA8">
        <w:tab/>
        <w:t>Where in addition to the definitions previously set out</w:t>
      </w:r>
    </w:p>
    <w:p w14:paraId="6C73913A" w14:textId="77777777" w:rsidR="006E4F22" w:rsidRPr="00D41EA8" w:rsidRDefault="006E4F22" w:rsidP="006E4F22">
      <w:pPr>
        <w:tabs>
          <w:tab w:val="left" w:pos="840"/>
          <w:tab w:val="left" w:pos="1800"/>
        </w:tabs>
        <w:spacing w:after="400" w:line="480" w:lineRule="auto"/>
        <w:ind w:left="840" w:hanging="840"/>
        <w:jc w:val="both"/>
      </w:pPr>
      <w:r w:rsidRPr="00D41EA8">
        <w:t>6.1.1</w:t>
      </w:r>
      <w:r w:rsidRPr="00D41EA8">
        <w:tab/>
      </w:r>
      <w:r w:rsidRPr="00D41EA8">
        <w:rPr>
          <w:i/>
        </w:rPr>
        <w:t>‘AF’</w:t>
      </w:r>
      <w:r w:rsidRPr="00D41EA8">
        <w:t xml:space="preserve"> = the final published “</w:t>
      </w:r>
      <w:r w:rsidRPr="00D41EA8">
        <w:rPr>
          <w:i/>
        </w:rPr>
        <w:t>revised</w:t>
      </w:r>
      <w:r w:rsidRPr="00D41EA8">
        <w:t>” hourly gross wage rate for the relevant percentile of the previously applied SOC for “</w:t>
      </w:r>
      <w:r w:rsidRPr="00D41EA8">
        <w:rPr>
          <w:i/>
        </w:rPr>
        <w:t>all</w:t>
      </w:r>
      <w:r w:rsidRPr="00D41EA8">
        <w:t>” employees</w:t>
      </w:r>
    </w:p>
    <w:p w14:paraId="28974732" w14:textId="77777777" w:rsidR="006E4F22" w:rsidRPr="006E4F22" w:rsidRDefault="006E4F22" w:rsidP="006E4F22">
      <w:pPr>
        <w:tabs>
          <w:tab w:val="left" w:pos="840"/>
          <w:tab w:val="left" w:pos="1800"/>
        </w:tabs>
        <w:spacing w:after="400" w:line="480" w:lineRule="auto"/>
        <w:ind w:left="840" w:hanging="840"/>
        <w:jc w:val="both"/>
      </w:pPr>
      <w:r w:rsidRPr="006E4F22">
        <w:lastRenderedPageBreak/>
        <w:t>6.1.2</w:t>
      </w:r>
      <w:r w:rsidRPr="003B0711">
        <w:tab/>
      </w:r>
      <w:r w:rsidRPr="006E4F22">
        <w:t xml:space="preserve">If, for the year of reclassification, the ONS does not publish </w:t>
      </w:r>
      <w:r w:rsidRPr="006E4F22">
        <w:rPr>
          <w:i/>
        </w:rPr>
        <w:t>AF</w:t>
      </w:r>
      <w:r w:rsidRPr="006E4F22">
        <w:t xml:space="preserve">, then the </w:t>
      </w:r>
      <w:r w:rsidRPr="006E4F22">
        <w:rPr>
          <w:i/>
        </w:rPr>
        <w:t>“first release”</w:t>
      </w:r>
      <w:r w:rsidRPr="006E4F22">
        <w:t xml:space="preserve"> hourly gross wage rate published for the relevant percentile of the previously applied SOC for </w:t>
      </w:r>
      <w:r w:rsidRPr="006E4F22">
        <w:rPr>
          <w:i/>
        </w:rPr>
        <w:t>“all”</w:t>
      </w:r>
      <w:r w:rsidRPr="006E4F22">
        <w:t xml:space="preserve"> employees (which is defined as </w:t>
      </w:r>
      <w:r w:rsidRPr="006E4F22">
        <w:rPr>
          <w:i/>
        </w:rPr>
        <w:t>‘</w:t>
      </w:r>
      <w:proofErr w:type="spellStart"/>
      <w:r w:rsidRPr="006E4F22">
        <w:rPr>
          <w:i/>
        </w:rPr>
        <w:t>OPF</w:t>
      </w:r>
      <w:proofErr w:type="spellEnd"/>
      <w:r w:rsidRPr="006E4F22">
        <w:rPr>
          <w:i/>
        </w:rPr>
        <w:t xml:space="preserve">’ </w:t>
      </w:r>
      <w:r w:rsidRPr="006E4F22">
        <w:t>in paragraph 7.1.3 below) shall be applied in its place</w:t>
      </w:r>
    </w:p>
    <w:p w14:paraId="4E931D02" w14:textId="77777777" w:rsidR="006E4F22" w:rsidRPr="006E4F22" w:rsidRDefault="006E4F22" w:rsidP="006E4F22">
      <w:pPr>
        <w:tabs>
          <w:tab w:val="left" w:pos="840"/>
          <w:tab w:val="left" w:pos="1800"/>
        </w:tabs>
        <w:spacing w:after="400" w:line="480" w:lineRule="auto"/>
        <w:ind w:left="840" w:hanging="840"/>
        <w:jc w:val="both"/>
        <w:rPr>
          <w:i/>
        </w:rPr>
      </w:pPr>
      <w:r w:rsidRPr="006E4F22">
        <w:t>6.1.3</w:t>
      </w:r>
      <w:r w:rsidRPr="003B0711">
        <w:tab/>
      </w:r>
      <w:r w:rsidRPr="006E4F22">
        <w:t xml:space="preserve">If reclassification has previously occurred then C will be the numerical value of CR calculated when reclassification last occurred </w:t>
      </w:r>
    </w:p>
    <w:p w14:paraId="7CCCB961" w14:textId="77777777" w:rsidR="006E4F22" w:rsidRPr="00D41EA8" w:rsidRDefault="006E4F22" w:rsidP="006E4F22">
      <w:pPr>
        <w:tabs>
          <w:tab w:val="left" w:pos="840"/>
          <w:tab w:val="left" w:pos="1800"/>
        </w:tabs>
        <w:spacing w:after="400" w:line="360" w:lineRule="auto"/>
        <w:ind w:left="840" w:hanging="840"/>
        <w:jc w:val="both"/>
      </w:pPr>
      <w:r w:rsidRPr="00D41EA8">
        <w:t>7</w:t>
      </w:r>
      <w:r w:rsidRPr="00D41EA8">
        <w:tab/>
        <w:t xml:space="preserve">When reclassification occurs the first payment only shall be </w:t>
      </w:r>
    </w:p>
    <w:p w14:paraId="54F0AE68" w14:textId="77777777" w:rsidR="006E4F22" w:rsidRPr="00D41EA8" w:rsidRDefault="006E4F22" w:rsidP="006E4F22">
      <w:pPr>
        <w:tabs>
          <w:tab w:val="left" w:pos="-1440"/>
          <w:tab w:val="left" w:pos="960"/>
        </w:tabs>
        <w:spacing w:after="400" w:line="360" w:lineRule="auto"/>
        <w:ind w:left="840"/>
        <w:jc w:val="both"/>
      </w:pPr>
      <w:r w:rsidRPr="00D41EA8">
        <w:rPr>
          <w:position w:val="-28"/>
        </w:rPr>
        <w:object w:dxaOrig="3900" w:dyaOrig="680" w14:anchorId="0306F4EF">
          <v:shape id="_x0000_i1028" type="#_x0000_t75" style="width:195.75pt;height:33.75pt" o:ole="">
            <v:imagedata r:id="rId14" o:title=""/>
          </v:shape>
          <o:OLEObject Type="Embed" ProgID="Equation.3" ShapeID="_x0000_i1028" DrawAspect="Content" ObjectID="_1695109592" r:id="rId15"/>
        </w:object>
      </w:r>
    </w:p>
    <w:p w14:paraId="305FA279" w14:textId="77777777" w:rsidR="006E4F22" w:rsidRPr="00D41EA8" w:rsidRDefault="006E4F22" w:rsidP="006E4F22">
      <w:pPr>
        <w:pStyle w:val="BodyTextIndent"/>
        <w:tabs>
          <w:tab w:val="clear" w:pos="840"/>
          <w:tab w:val="left" w:pos="1080"/>
          <w:tab w:val="left" w:pos="6262"/>
        </w:tabs>
        <w:spacing w:line="480" w:lineRule="auto"/>
        <w:rPr>
          <w:rFonts w:ascii="Times New Roman" w:hAnsi="Times New Roman"/>
          <w:sz w:val="24"/>
        </w:rPr>
      </w:pPr>
      <w:r w:rsidRPr="00D41EA8">
        <w:rPr>
          <w:rFonts w:ascii="Times New Roman" w:hAnsi="Times New Roman"/>
          <w:sz w:val="24"/>
        </w:rPr>
        <w:t>The second bracket of the above formula shall not apply where at the time of reclassification, either (a) there has been no periodical payment made in the previous year or (b) where at that time a step change in the annual sum is due under paragraph 1 above and in those circumstances the first payment shall be calculated in accordance with the following formula</w:t>
      </w:r>
    </w:p>
    <w:p w14:paraId="5FE8DBDD" w14:textId="77777777" w:rsidR="006E4F22" w:rsidRPr="00D41EA8" w:rsidRDefault="006E4F22" w:rsidP="006E4F22">
      <w:pPr>
        <w:tabs>
          <w:tab w:val="left" w:pos="960"/>
          <w:tab w:val="left" w:pos="1800"/>
          <w:tab w:val="left" w:pos="6262"/>
        </w:tabs>
        <w:spacing w:after="400" w:line="360" w:lineRule="auto"/>
        <w:ind w:left="840"/>
        <w:jc w:val="both"/>
      </w:pPr>
      <w:r w:rsidRPr="00D41EA8">
        <w:rPr>
          <w:position w:val="-28"/>
        </w:rPr>
        <w:object w:dxaOrig="2000" w:dyaOrig="680" w14:anchorId="3CEF1C50">
          <v:shape id="_x0000_i1029" type="#_x0000_t75" style="width:99.75pt;height:33.75pt" o:ole="">
            <v:imagedata r:id="rId16" o:title=""/>
          </v:shape>
          <o:OLEObject Type="Embed" ProgID="Equation.3" ShapeID="_x0000_i1029" DrawAspect="Content" ObjectID="_1695109593" r:id="rId17"/>
        </w:object>
      </w:r>
    </w:p>
    <w:p w14:paraId="03479A4F" w14:textId="77777777" w:rsidR="006E4F22" w:rsidRPr="006E4F22" w:rsidRDefault="006E4F22" w:rsidP="006E4F22">
      <w:pPr>
        <w:tabs>
          <w:tab w:val="left" w:pos="960"/>
          <w:tab w:val="left" w:pos="1800"/>
          <w:tab w:val="left" w:pos="6262"/>
        </w:tabs>
        <w:spacing w:after="400" w:line="480" w:lineRule="auto"/>
        <w:ind w:left="840"/>
        <w:jc w:val="both"/>
      </w:pPr>
      <w:r w:rsidRPr="006E4F22">
        <w:t xml:space="preserve">Where reclassification has occurred on more than one occasion prior to the first payment then successive applications of paragraph 6 above must be carried out first to arrive at the present numerical value of CR and C shall represent the numerical value of CR previously calculated </w:t>
      </w:r>
    </w:p>
    <w:p w14:paraId="6CF78730" w14:textId="77777777" w:rsidR="006E4F22" w:rsidRPr="00D41EA8" w:rsidRDefault="006E4F22" w:rsidP="006E4F22">
      <w:pPr>
        <w:tabs>
          <w:tab w:val="left" w:pos="840"/>
        </w:tabs>
        <w:spacing w:after="400" w:line="360" w:lineRule="auto"/>
        <w:jc w:val="both"/>
      </w:pPr>
      <w:r w:rsidRPr="00D41EA8">
        <w:t>7.1</w:t>
      </w:r>
      <w:r w:rsidRPr="00D41EA8">
        <w:tab/>
        <w:t xml:space="preserve">Where in addition to the definitions previously set out </w:t>
      </w:r>
    </w:p>
    <w:p w14:paraId="6F0A2902" w14:textId="77777777" w:rsidR="006E4F22" w:rsidRPr="00D41EA8" w:rsidRDefault="006E4F22" w:rsidP="006E4F22">
      <w:pPr>
        <w:spacing w:after="400" w:line="480" w:lineRule="auto"/>
        <w:ind w:left="840" w:hanging="840"/>
        <w:jc w:val="both"/>
      </w:pPr>
      <w:r w:rsidRPr="00D41EA8">
        <w:lastRenderedPageBreak/>
        <w:t>7.1.1</w:t>
      </w:r>
      <w:r w:rsidRPr="00D41EA8">
        <w:tab/>
      </w:r>
      <w:r w:rsidRPr="00D41EA8">
        <w:rPr>
          <w:i/>
        </w:rPr>
        <w:t>‘</w:t>
      </w:r>
      <w:proofErr w:type="spellStart"/>
      <w:r w:rsidRPr="00D41EA8">
        <w:rPr>
          <w:i/>
        </w:rPr>
        <w:t>PPR</w:t>
      </w:r>
      <w:proofErr w:type="spellEnd"/>
      <w:r w:rsidRPr="00D41EA8">
        <w:rPr>
          <w:i/>
        </w:rPr>
        <w:t>’</w:t>
      </w:r>
      <w:r w:rsidRPr="00D41EA8">
        <w:t xml:space="preserve"> = the amount payable by way of periodical payment in each year following reclassification</w:t>
      </w:r>
    </w:p>
    <w:p w14:paraId="73D42A22" w14:textId="77777777" w:rsidR="006E4F22" w:rsidRPr="00D41EA8" w:rsidRDefault="006E4F22" w:rsidP="006E4F22">
      <w:pPr>
        <w:spacing w:after="400" w:line="480" w:lineRule="auto"/>
        <w:ind w:left="840" w:hanging="840"/>
        <w:jc w:val="both"/>
      </w:pPr>
      <w:r w:rsidRPr="00D41EA8">
        <w:t>7.1.2</w:t>
      </w:r>
      <w:r w:rsidRPr="00D41EA8">
        <w:tab/>
      </w:r>
      <w:r w:rsidRPr="00D41EA8">
        <w:rPr>
          <w:i/>
        </w:rPr>
        <w:t>‘NPR’</w:t>
      </w:r>
      <w:r w:rsidRPr="00D41EA8">
        <w:t xml:space="preserve"> = the “</w:t>
      </w:r>
      <w:r w:rsidRPr="00D41EA8">
        <w:rPr>
          <w:i/>
        </w:rPr>
        <w:t>first release</w:t>
      </w:r>
      <w:r w:rsidRPr="00D41EA8">
        <w:t>” hourly gross wage rate published for the relevant percentile of the new SOC following reclassification for the year in which the calculation is being carried out</w:t>
      </w:r>
    </w:p>
    <w:p w14:paraId="2D6156A9" w14:textId="77777777" w:rsidR="006E4F22" w:rsidRPr="00D41EA8" w:rsidRDefault="006E4F22" w:rsidP="006E4F22">
      <w:pPr>
        <w:spacing w:after="400" w:line="480" w:lineRule="auto"/>
        <w:ind w:left="840" w:hanging="840"/>
        <w:jc w:val="both"/>
      </w:pPr>
      <w:r w:rsidRPr="00D41EA8">
        <w:t>7.1.3</w:t>
      </w:r>
      <w:r w:rsidRPr="00D41EA8">
        <w:tab/>
      </w:r>
      <w:r w:rsidRPr="00D41EA8">
        <w:rPr>
          <w:i/>
        </w:rPr>
        <w:t>‘</w:t>
      </w:r>
      <w:proofErr w:type="spellStart"/>
      <w:r w:rsidRPr="00D41EA8">
        <w:rPr>
          <w:i/>
        </w:rPr>
        <w:t>OPF</w:t>
      </w:r>
      <w:proofErr w:type="spellEnd"/>
      <w:r w:rsidRPr="00D41EA8">
        <w:rPr>
          <w:i/>
        </w:rPr>
        <w:t>’</w:t>
      </w:r>
      <w:r w:rsidRPr="00D41EA8">
        <w:t xml:space="preserve"> = the final “</w:t>
      </w:r>
      <w:r w:rsidRPr="00D41EA8">
        <w:rPr>
          <w:i/>
        </w:rPr>
        <w:t>first release</w:t>
      </w:r>
      <w:r w:rsidRPr="00D41EA8">
        <w:t>” hourly gross wage rate published for the relevant percentile of the previously applied SOC for “</w:t>
      </w:r>
      <w:r w:rsidRPr="00D41EA8">
        <w:rPr>
          <w:i/>
        </w:rPr>
        <w:t>all</w:t>
      </w:r>
      <w:r w:rsidRPr="00D41EA8">
        <w:t>” employees</w:t>
      </w:r>
    </w:p>
    <w:p w14:paraId="0A465210" w14:textId="77777777" w:rsidR="006E4F22" w:rsidRPr="00D41EA8" w:rsidRDefault="006E4F22" w:rsidP="00CA7FF1">
      <w:pPr>
        <w:tabs>
          <w:tab w:val="left" w:pos="840"/>
          <w:tab w:val="left" w:pos="1800"/>
        </w:tabs>
        <w:spacing w:after="400" w:line="480" w:lineRule="auto"/>
        <w:ind w:left="840" w:hanging="840"/>
        <w:jc w:val="both"/>
      </w:pPr>
      <w:r w:rsidRPr="00D41EA8">
        <w:t>7.1.4</w:t>
      </w:r>
      <w:r w:rsidRPr="00D41EA8">
        <w:tab/>
      </w:r>
      <w:r w:rsidRPr="00D41EA8">
        <w:rPr>
          <w:i/>
        </w:rPr>
        <w:t>‘AR’</w:t>
      </w:r>
      <w:r w:rsidRPr="00D41EA8">
        <w:t xml:space="preserve"> = the “</w:t>
      </w:r>
      <w:r w:rsidRPr="00D41EA8">
        <w:rPr>
          <w:i/>
        </w:rPr>
        <w:t>revised</w:t>
      </w:r>
      <w:r w:rsidRPr="00D41EA8">
        <w:t xml:space="preserve">” hourly gross wage rate for the </w:t>
      </w:r>
      <w:r w:rsidRPr="006E4F22">
        <w:t>published</w:t>
      </w:r>
      <w:r w:rsidRPr="00D41EA8">
        <w:t xml:space="preserve"> percentile of the new SOC, </w:t>
      </w:r>
      <w:r w:rsidRPr="006E4F22">
        <w:t>which,</w:t>
      </w:r>
      <w:r w:rsidRPr="00D41EA8">
        <w:t xml:space="preserve"> when first published, is closest to </w:t>
      </w:r>
      <w:r w:rsidRPr="00D41EA8">
        <w:rPr>
          <w:i/>
        </w:rPr>
        <w:t>AF</w:t>
      </w:r>
      <w:r w:rsidRPr="00D41EA8">
        <w:t xml:space="preserve">, and the </w:t>
      </w:r>
      <w:r w:rsidRPr="006E4F22">
        <w:t>relevant</w:t>
      </w:r>
      <w:r w:rsidRPr="00D41EA8">
        <w:t xml:space="preserve"> percentile </w:t>
      </w:r>
      <w:r w:rsidRPr="00CA7FF1">
        <w:t>of the new</w:t>
      </w:r>
      <w:r w:rsidRPr="00D41EA8">
        <w:t xml:space="preserve"> SOC shall be the percentile to which </w:t>
      </w:r>
      <w:r w:rsidRPr="00D41EA8">
        <w:rPr>
          <w:i/>
        </w:rPr>
        <w:t>AR</w:t>
      </w:r>
      <w:r w:rsidRPr="00D41EA8">
        <w:t xml:space="preserve"> corresponds</w:t>
      </w:r>
    </w:p>
    <w:p w14:paraId="46C6D9EC" w14:textId="77777777" w:rsidR="006E4F22" w:rsidRPr="00D41EA8" w:rsidRDefault="006E4F22" w:rsidP="006E4F22">
      <w:pPr>
        <w:tabs>
          <w:tab w:val="left" w:pos="960"/>
          <w:tab w:val="left" w:pos="1800"/>
        </w:tabs>
        <w:spacing w:after="400" w:line="360" w:lineRule="auto"/>
        <w:ind w:left="840" w:hanging="840"/>
        <w:jc w:val="both"/>
      </w:pPr>
      <w:r w:rsidRPr="00D41EA8">
        <w:t>8</w:t>
      </w:r>
      <w:r w:rsidRPr="00D41EA8">
        <w:tab/>
        <w:t xml:space="preserve">Until further reclassification the formula for calculating subsequent values of </w:t>
      </w:r>
      <w:proofErr w:type="spellStart"/>
      <w:r w:rsidRPr="00D41EA8">
        <w:rPr>
          <w:i/>
        </w:rPr>
        <w:t>PPR</w:t>
      </w:r>
      <w:proofErr w:type="spellEnd"/>
      <w:r w:rsidRPr="00D41EA8">
        <w:t xml:space="preserve"> shall be </w:t>
      </w:r>
    </w:p>
    <w:p w14:paraId="55A30FB8" w14:textId="77777777" w:rsidR="006E4F22" w:rsidRPr="00D41EA8" w:rsidRDefault="006E4F22" w:rsidP="006E4F22">
      <w:pPr>
        <w:tabs>
          <w:tab w:val="left" w:pos="1440"/>
          <w:tab w:val="center" w:pos="4500"/>
          <w:tab w:val="right" w:pos="9000"/>
        </w:tabs>
        <w:spacing w:after="400" w:line="360" w:lineRule="auto"/>
        <w:ind w:left="840"/>
        <w:jc w:val="both"/>
      </w:pPr>
      <w:r w:rsidRPr="00D41EA8">
        <w:rPr>
          <w:position w:val="-24"/>
        </w:rPr>
        <w:object w:dxaOrig="3360" w:dyaOrig="620" w14:anchorId="3C1DF857">
          <v:shape id="_x0000_i1030" type="#_x0000_t75" style="width:168pt;height:30.75pt" o:ole="">
            <v:imagedata r:id="rId18" o:title=""/>
          </v:shape>
          <o:OLEObject Type="Embed" ProgID="Equation.3" ShapeID="_x0000_i1030" DrawAspect="Content" ObjectID="_1695109594" r:id="rId19"/>
        </w:object>
      </w:r>
    </w:p>
    <w:p w14:paraId="6B9EEFA4" w14:textId="77777777" w:rsidR="006E4F22" w:rsidRPr="00D41EA8" w:rsidRDefault="006E4F22" w:rsidP="006E4F22">
      <w:pPr>
        <w:tabs>
          <w:tab w:val="left" w:pos="840"/>
          <w:tab w:val="left" w:pos="1800"/>
        </w:tabs>
        <w:spacing w:after="400" w:line="360" w:lineRule="auto"/>
        <w:jc w:val="both"/>
      </w:pPr>
      <w:r w:rsidRPr="00D41EA8">
        <w:t>8.1</w:t>
      </w:r>
      <w:r w:rsidRPr="00D41EA8">
        <w:tab/>
        <w:t>Where in addition to the definitions previously set out</w:t>
      </w:r>
    </w:p>
    <w:p w14:paraId="4B5C52B3" w14:textId="77777777" w:rsidR="006E4F22" w:rsidRPr="00D41EA8" w:rsidRDefault="006E4F22" w:rsidP="00CA7FF1">
      <w:pPr>
        <w:tabs>
          <w:tab w:val="left" w:pos="960"/>
          <w:tab w:val="left" w:pos="1800"/>
        </w:tabs>
        <w:spacing w:after="400" w:line="480" w:lineRule="auto"/>
        <w:ind w:left="840" w:hanging="840"/>
        <w:jc w:val="both"/>
      </w:pPr>
      <w:r w:rsidRPr="00D41EA8">
        <w:t>8.1.1</w:t>
      </w:r>
      <w:r w:rsidRPr="00D41EA8">
        <w:tab/>
      </w:r>
      <w:r w:rsidRPr="00D41EA8">
        <w:rPr>
          <w:i/>
        </w:rPr>
        <w:t>‘</w:t>
      </w:r>
      <w:proofErr w:type="spellStart"/>
      <w:r w:rsidRPr="00D41EA8">
        <w:rPr>
          <w:i/>
        </w:rPr>
        <w:t>NFR</w:t>
      </w:r>
      <w:proofErr w:type="spellEnd"/>
      <w:r w:rsidRPr="00D41EA8">
        <w:rPr>
          <w:i/>
        </w:rPr>
        <w:t>’</w:t>
      </w:r>
      <w:r w:rsidRPr="00D41EA8">
        <w:t xml:space="preserve"> = the “</w:t>
      </w:r>
      <w:r w:rsidRPr="00D41EA8">
        <w:rPr>
          <w:i/>
        </w:rPr>
        <w:t>revised</w:t>
      </w:r>
      <w:r w:rsidRPr="00D41EA8">
        <w:t>” hourly gross wage rate published for the relevant percentile of the new SOC following reclassification for the year prior to the year in which the calculation is being carried out</w:t>
      </w:r>
    </w:p>
    <w:p w14:paraId="2FDD7B10" w14:textId="77777777" w:rsidR="006E4F22" w:rsidRPr="00D41EA8" w:rsidRDefault="006E4F22" w:rsidP="00CA7FF1">
      <w:pPr>
        <w:tabs>
          <w:tab w:val="left" w:pos="960"/>
          <w:tab w:val="left" w:pos="1800"/>
        </w:tabs>
        <w:spacing w:after="400" w:line="480" w:lineRule="auto"/>
        <w:ind w:left="840" w:hanging="840"/>
        <w:jc w:val="both"/>
      </w:pPr>
      <w:r w:rsidRPr="00D41EA8">
        <w:t>8.1.2</w:t>
      </w:r>
      <w:r w:rsidRPr="00D41EA8">
        <w:tab/>
      </w:r>
      <w:r w:rsidRPr="00D41EA8">
        <w:rPr>
          <w:i/>
        </w:rPr>
        <w:t>‘</w:t>
      </w:r>
      <w:proofErr w:type="spellStart"/>
      <w:r w:rsidRPr="00D41EA8">
        <w:rPr>
          <w:i/>
        </w:rPr>
        <w:t>OPR</w:t>
      </w:r>
      <w:proofErr w:type="spellEnd"/>
      <w:r w:rsidRPr="00D41EA8">
        <w:rPr>
          <w:i/>
        </w:rPr>
        <w:t>’</w:t>
      </w:r>
      <w:r w:rsidRPr="00D41EA8">
        <w:t xml:space="preserve"> = the “</w:t>
      </w:r>
      <w:r w:rsidRPr="00D41EA8">
        <w:rPr>
          <w:i/>
        </w:rPr>
        <w:t>first release</w:t>
      </w:r>
      <w:r w:rsidRPr="00D41EA8">
        <w:t>” hourly gross wage rate published for the relevant percentile in the new SOC following reclassification for the year prior to the year in which the calculation is being carried out</w:t>
      </w:r>
    </w:p>
    <w:p w14:paraId="5EC6ED14" w14:textId="77777777" w:rsidR="006E4F22" w:rsidRPr="00D41EA8" w:rsidRDefault="006E4F22" w:rsidP="00CA7FF1">
      <w:pPr>
        <w:tabs>
          <w:tab w:val="left" w:pos="960"/>
          <w:tab w:val="left" w:pos="1800"/>
        </w:tabs>
        <w:spacing w:after="400" w:line="480" w:lineRule="auto"/>
        <w:ind w:left="840" w:hanging="840"/>
        <w:jc w:val="both"/>
      </w:pPr>
      <w:r w:rsidRPr="00D41EA8">
        <w:lastRenderedPageBreak/>
        <w:t>9</w:t>
      </w:r>
      <w:r w:rsidRPr="00D41EA8">
        <w:tab/>
        <w:t>Further reclassifications shall be dealt with in the same way by the application of paragraphs 5-8 above</w:t>
      </w:r>
    </w:p>
    <w:p w14:paraId="1081F10F" w14:textId="77777777" w:rsidR="006E4F22" w:rsidRPr="00D41EA8" w:rsidRDefault="006E4F22" w:rsidP="00CA7FF1">
      <w:pPr>
        <w:tabs>
          <w:tab w:val="left" w:pos="960"/>
          <w:tab w:val="left" w:pos="1800"/>
        </w:tabs>
        <w:spacing w:after="400" w:line="480" w:lineRule="auto"/>
        <w:ind w:left="840" w:hanging="840"/>
        <w:jc w:val="both"/>
      </w:pPr>
      <w:r w:rsidRPr="00D41EA8">
        <w:t>10</w:t>
      </w:r>
      <w:r w:rsidRPr="00D41EA8">
        <w:tab/>
        <w:t>For the purposes of this part a change of methodology occurs when the ONS publishes two sets of data for the applied SOC. In that event, the same process as set out in paragraphs 6-9 above shall be undertaken. However, in these circumstances references to</w:t>
      </w:r>
    </w:p>
    <w:p w14:paraId="6409894A" w14:textId="77777777" w:rsidR="006E4F22" w:rsidRPr="00D41EA8" w:rsidRDefault="006E4F22" w:rsidP="006E4F22">
      <w:pPr>
        <w:tabs>
          <w:tab w:val="left" w:pos="960"/>
          <w:tab w:val="left" w:pos="1800"/>
        </w:tabs>
        <w:spacing w:after="400" w:line="360" w:lineRule="auto"/>
        <w:ind w:left="840" w:hanging="840"/>
        <w:jc w:val="both"/>
      </w:pPr>
      <w:r w:rsidRPr="00D41EA8">
        <w:t>10.1</w:t>
      </w:r>
      <w:r w:rsidRPr="00D41EA8">
        <w:tab/>
        <w:t>‘</w:t>
      </w:r>
      <w:r w:rsidRPr="00D41EA8">
        <w:rPr>
          <w:i/>
        </w:rPr>
        <w:t>reclassification</w:t>
      </w:r>
      <w:r w:rsidRPr="00D41EA8">
        <w:t>’ shall be treated as being a reference to ‘</w:t>
      </w:r>
      <w:r w:rsidRPr="00D41EA8">
        <w:rPr>
          <w:i/>
        </w:rPr>
        <w:t>a change of methodology</w:t>
      </w:r>
      <w:r w:rsidRPr="00D41EA8">
        <w:t>’,</w:t>
      </w:r>
    </w:p>
    <w:p w14:paraId="5CE4C89A" w14:textId="77777777" w:rsidR="006E4F22" w:rsidRPr="00D41EA8" w:rsidRDefault="006E4F22" w:rsidP="00CA7FF1">
      <w:pPr>
        <w:tabs>
          <w:tab w:val="left" w:pos="960"/>
          <w:tab w:val="left" w:pos="1800"/>
        </w:tabs>
        <w:spacing w:after="400" w:line="480" w:lineRule="auto"/>
        <w:ind w:left="840" w:hanging="840"/>
        <w:jc w:val="both"/>
      </w:pPr>
      <w:r w:rsidRPr="00D41EA8">
        <w:t>10.2</w:t>
      </w:r>
      <w:r w:rsidRPr="00D41EA8">
        <w:tab/>
        <w:t>‘</w:t>
      </w:r>
      <w:r w:rsidRPr="00D41EA8">
        <w:rPr>
          <w:i/>
        </w:rPr>
        <w:t>the new SOC</w:t>
      </w:r>
      <w:r w:rsidRPr="00D41EA8">
        <w:t>’ shall be treated as being a reference to ‘</w:t>
      </w:r>
      <w:r w:rsidRPr="00D41EA8">
        <w:rPr>
          <w:i/>
        </w:rPr>
        <w:t>the existing SOC using the new methodology</w:t>
      </w:r>
      <w:r w:rsidRPr="00D41EA8">
        <w:t>’, and</w:t>
      </w:r>
    </w:p>
    <w:p w14:paraId="4FF0AB4A" w14:textId="77777777" w:rsidR="006E4F22" w:rsidRPr="00D41EA8" w:rsidRDefault="006E4F22" w:rsidP="00CA7FF1">
      <w:pPr>
        <w:tabs>
          <w:tab w:val="left" w:pos="960"/>
          <w:tab w:val="left" w:pos="1800"/>
        </w:tabs>
        <w:spacing w:after="400" w:line="480" w:lineRule="auto"/>
        <w:ind w:left="840" w:hanging="840"/>
        <w:jc w:val="both"/>
      </w:pPr>
      <w:r w:rsidRPr="00D41EA8">
        <w:t>10.3</w:t>
      </w:r>
      <w:r w:rsidRPr="00D41EA8">
        <w:tab/>
        <w:t>‘</w:t>
      </w:r>
      <w:r w:rsidRPr="00D41EA8">
        <w:rPr>
          <w:i/>
        </w:rPr>
        <w:t>the previously applied SOC</w:t>
      </w:r>
      <w:r w:rsidRPr="00D41EA8">
        <w:t>’ shall be treated as being a reference to ‘</w:t>
      </w:r>
      <w:r w:rsidRPr="00D41EA8">
        <w:rPr>
          <w:i/>
        </w:rPr>
        <w:t>the existing SOC using the old methodology</w:t>
      </w:r>
      <w:r w:rsidR="002556F6">
        <w:t>’</w:t>
      </w:r>
    </w:p>
    <w:p w14:paraId="5EE80C93" w14:textId="77777777" w:rsidR="006E4F22" w:rsidRPr="00D41EA8" w:rsidRDefault="006E4F22" w:rsidP="006E4F22">
      <w:pPr>
        <w:tabs>
          <w:tab w:val="left" w:pos="720"/>
          <w:tab w:val="left" w:pos="1800"/>
        </w:tabs>
        <w:spacing w:after="400" w:line="360" w:lineRule="auto"/>
        <w:ind w:left="720" w:hanging="720"/>
        <w:jc w:val="both"/>
      </w:pPr>
      <w:r w:rsidRPr="00D41EA8">
        <w:t xml:space="preserve"> </w:t>
      </w:r>
      <w:r w:rsidRPr="00D41EA8">
        <w:rPr>
          <w:b/>
          <w:u w:val="single"/>
        </w:rPr>
        <w:t>Miscellaneous</w:t>
      </w:r>
    </w:p>
    <w:p w14:paraId="07374350" w14:textId="77777777" w:rsidR="006E4F22" w:rsidRPr="00D41EA8" w:rsidRDefault="006E4F22" w:rsidP="00CA7FF1">
      <w:pPr>
        <w:pStyle w:val="BodyTextIndent2"/>
        <w:spacing w:line="480" w:lineRule="auto"/>
        <w:rPr>
          <w:rFonts w:ascii="Times New Roman" w:hAnsi="Times New Roman"/>
          <w:sz w:val="24"/>
        </w:rPr>
      </w:pPr>
      <w:r w:rsidRPr="00D41EA8">
        <w:rPr>
          <w:rFonts w:ascii="Times New Roman" w:hAnsi="Times New Roman"/>
          <w:sz w:val="24"/>
        </w:rPr>
        <w:t>11</w:t>
      </w:r>
      <w:r w:rsidRPr="00D41EA8">
        <w:rPr>
          <w:rFonts w:ascii="Times New Roman" w:hAnsi="Times New Roman"/>
          <w:sz w:val="24"/>
        </w:rPr>
        <w:tab/>
        <w:t xml:space="preserve">In the event of a dispute between the parties arising </w:t>
      </w:r>
      <w:r>
        <w:rPr>
          <w:rFonts w:ascii="Times New Roman" w:hAnsi="Times New Roman"/>
          <w:sz w:val="24"/>
        </w:rPr>
        <w:t>out of the application of this p</w:t>
      </w:r>
      <w:r w:rsidRPr="00D41EA8">
        <w:rPr>
          <w:rFonts w:ascii="Times New Roman" w:hAnsi="Times New Roman"/>
          <w:sz w:val="24"/>
        </w:rPr>
        <w:t xml:space="preserve">art, there </w:t>
      </w:r>
      <w:r w:rsidR="002556F6">
        <w:rPr>
          <w:rFonts w:ascii="Times New Roman" w:hAnsi="Times New Roman"/>
          <w:sz w:val="24"/>
        </w:rPr>
        <w:t>be liberty to apply</w:t>
      </w:r>
    </w:p>
    <w:p w14:paraId="6E1E1AB8" w14:textId="77777777" w:rsidR="003D7E17" w:rsidRPr="00D41EA8" w:rsidRDefault="003D7E17" w:rsidP="003D7E17">
      <w:pPr>
        <w:pStyle w:val="BodyTextIndent2"/>
        <w:spacing w:line="480" w:lineRule="auto"/>
        <w:rPr>
          <w:rFonts w:ascii="Times New Roman" w:hAnsi="Times New Roman"/>
          <w:sz w:val="24"/>
        </w:rPr>
      </w:pPr>
    </w:p>
    <w:p w14:paraId="13F3E9B3" w14:textId="77777777" w:rsidR="003D7E17" w:rsidRPr="00D41EA8" w:rsidRDefault="003D7E17" w:rsidP="003D7E17"/>
    <w:p w14:paraId="0F593E63" w14:textId="77777777" w:rsidR="003D7E17" w:rsidRDefault="003D7E17" w:rsidP="005726E0">
      <w:pPr>
        <w:spacing w:line="480" w:lineRule="auto"/>
        <w:ind w:left="381"/>
        <w:jc w:val="both"/>
        <w:sectPr w:rsidR="003D7E17" w:rsidSect="005D2BD5">
          <w:headerReference w:type="even" r:id="rId20"/>
          <w:headerReference w:type="default" r:id="rId21"/>
          <w:footerReference w:type="even" r:id="rId22"/>
          <w:footerReference w:type="default" r:id="rId23"/>
          <w:headerReference w:type="first" r:id="rId24"/>
          <w:footerReference w:type="first" r:id="rId25"/>
          <w:pgSz w:w="11907" w:h="16840" w:code="9"/>
          <w:pgMar w:top="1440" w:right="1418" w:bottom="1440" w:left="1418" w:header="709" w:footer="709" w:gutter="0"/>
          <w:cols w:space="708"/>
          <w:titlePg/>
          <w:docGrid w:linePitch="360"/>
        </w:sectPr>
      </w:pPr>
    </w:p>
    <w:tbl>
      <w:tblPr>
        <w:tblW w:w="9322" w:type="dxa"/>
        <w:tblLayout w:type="fixed"/>
        <w:tblLook w:val="0000" w:firstRow="0" w:lastRow="0" w:firstColumn="0" w:lastColumn="0" w:noHBand="0" w:noVBand="0"/>
      </w:tblPr>
      <w:tblGrid>
        <w:gridCol w:w="4261"/>
        <w:gridCol w:w="5061"/>
      </w:tblGrid>
      <w:tr w:rsidR="00D21AD7" w:rsidRPr="00176502" w14:paraId="1B58FF1F" w14:textId="77777777" w:rsidTr="0089461E">
        <w:tc>
          <w:tcPr>
            <w:tcW w:w="4261" w:type="dxa"/>
          </w:tcPr>
          <w:p w14:paraId="6DBB24F1" w14:textId="77777777" w:rsidR="00D21AD7" w:rsidRPr="00176502" w:rsidRDefault="00D21AD7">
            <w:pPr>
              <w:tabs>
                <w:tab w:val="left" w:pos="-1095"/>
                <w:tab w:val="left" w:pos="-720"/>
                <w:tab w:val="right" w:pos="8364"/>
              </w:tabs>
              <w:suppressAutoHyphens/>
              <w:jc w:val="both"/>
              <w:rPr>
                <w:rFonts w:ascii="Trebuchet MS" w:hAnsi="Trebuchet MS"/>
                <w:b/>
                <w:spacing w:val="-3"/>
              </w:rPr>
            </w:pPr>
            <w:bookmarkStart w:id="4" w:name="_GoBack" w:colFirst="0" w:colLast="2"/>
          </w:p>
        </w:tc>
        <w:tc>
          <w:tcPr>
            <w:tcW w:w="5061" w:type="dxa"/>
          </w:tcPr>
          <w:p w14:paraId="3F852E9B" w14:textId="77777777" w:rsidR="00D21AD7" w:rsidRPr="00176502" w:rsidRDefault="00D21AD7" w:rsidP="00287B01">
            <w:pPr>
              <w:tabs>
                <w:tab w:val="left" w:pos="-1095"/>
                <w:tab w:val="left" w:pos="-720"/>
                <w:tab w:val="right" w:pos="8364"/>
              </w:tabs>
              <w:suppressAutoHyphens/>
              <w:spacing w:line="480" w:lineRule="auto"/>
              <w:jc w:val="right"/>
              <w:rPr>
                <w:rFonts w:ascii="Trebuchet MS" w:hAnsi="Trebuchet MS"/>
                <w:b/>
                <w:spacing w:val="-3"/>
                <w:u w:val="single"/>
              </w:rPr>
            </w:pPr>
            <w:r>
              <w:rPr>
                <w:rFonts w:ascii="Trebuchet MS" w:hAnsi="Trebuchet MS"/>
                <w:b/>
                <w:spacing w:val="-3"/>
                <w:u w:val="single"/>
              </w:rPr>
              <w:t xml:space="preserve">Claim No: </w:t>
            </w:r>
            <w:proofErr w:type="spellStart"/>
            <w:r w:rsidR="000300A6">
              <w:rPr>
                <w:rFonts w:ascii="Trebuchet MS" w:hAnsi="Trebuchet MS"/>
                <w:b/>
                <w:spacing w:val="-3"/>
                <w:u w:val="single"/>
              </w:rPr>
              <w:t>QB</w:t>
            </w:r>
            <w:proofErr w:type="spellEnd"/>
            <w:r w:rsidR="000300A6">
              <w:rPr>
                <w:rFonts w:ascii="Trebuchet MS" w:hAnsi="Trebuchet MS"/>
                <w:b/>
                <w:spacing w:val="-3"/>
                <w:u w:val="single"/>
              </w:rPr>
              <w:t>-2019-001548</w:t>
            </w:r>
          </w:p>
          <w:p w14:paraId="7359D04A" w14:textId="77777777" w:rsidR="00D21AD7" w:rsidRPr="00176502" w:rsidRDefault="00D21AD7" w:rsidP="008417FE">
            <w:pPr>
              <w:tabs>
                <w:tab w:val="left" w:pos="-1095"/>
                <w:tab w:val="left" w:pos="-720"/>
                <w:tab w:val="right" w:pos="8364"/>
              </w:tabs>
              <w:suppressAutoHyphens/>
              <w:spacing w:line="480" w:lineRule="auto"/>
              <w:jc w:val="both"/>
              <w:rPr>
                <w:rFonts w:ascii="Trebuchet MS" w:hAnsi="Trebuchet MS"/>
                <w:b/>
                <w:spacing w:val="-3"/>
                <w:u w:val="single"/>
              </w:rPr>
            </w:pPr>
            <w:r w:rsidRPr="00176502">
              <w:rPr>
                <w:rFonts w:ascii="Trebuchet MS" w:hAnsi="Trebuchet MS"/>
                <w:b/>
                <w:spacing w:val="-3"/>
                <w:u w:val="single"/>
              </w:rPr>
              <w:t>IN THE HIGH COURT OF JUSTICE</w:t>
            </w:r>
          </w:p>
          <w:p w14:paraId="57989ADF" w14:textId="77777777" w:rsidR="00991069" w:rsidRDefault="00D21AD7" w:rsidP="008417FE">
            <w:pPr>
              <w:tabs>
                <w:tab w:val="left" w:pos="-1095"/>
                <w:tab w:val="left" w:pos="-720"/>
                <w:tab w:val="right" w:pos="8364"/>
              </w:tabs>
              <w:suppressAutoHyphens/>
              <w:spacing w:line="480" w:lineRule="auto"/>
              <w:jc w:val="both"/>
              <w:rPr>
                <w:rFonts w:ascii="Trebuchet MS" w:hAnsi="Trebuchet MS"/>
                <w:b/>
                <w:spacing w:val="-3"/>
                <w:u w:val="single"/>
              </w:rPr>
            </w:pPr>
            <w:r w:rsidRPr="00176502">
              <w:rPr>
                <w:rFonts w:ascii="Trebuchet MS" w:hAnsi="Trebuchet MS"/>
                <w:b/>
                <w:spacing w:val="-3"/>
                <w:u w:val="single"/>
              </w:rPr>
              <w:t>QUEENS BENCH DIVISION</w:t>
            </w:r>
          </w:p>
          <w:p w14:paraId="147A3DBF" w14:textId="77777777" w:rsidR="00541CAC" w:rsidRDefault="00541CAC" w:rsidP="00541CAC">
            <w:pPr>
              <w:tabs>
                <w:tab w:val="left" w:pos="-1095"/>
                <w:tab w:val="left" w:pos="-720"/>
              </w:tabs>
              <w:suppressAutoHyphens/>
              <w:spacing w:line="480" w:lineRule="auto"/>
              <w:jc w:val="both"/>
              <w:rPr>
                <w:rFonts w:ascii="Trebuchet MS" w:hAnsi="Trebuchet MS"/>
                <w:b/>
                <w:spacing w:val="-3"/>
                <w:u w:val="single"/>
              </w:rPr>
            </w:pPr>
            <w:r w:rsidRPr="00A02025">
              <w:rPr>
                <w:rFonts w:ascii="Trebuchet MS" w:hAnsi="Trebuchet MS"/>
                <w:b/>
                <w:spacing w:val="-3"/>
                <w:u w:val="single"/>
              </w:rPr>
              <w:t>CLIVE SHELDON QC (SITTING AS A DEPUTY JUDGE OF THE HIGH COURT)</w:t>
            </w:r>
          </w:p>
          <w:p w14:paraId="309F8EF8" w14:textId="77777777" w:rsidR="00D21AD7" w:rsidRPr="00176502" w:rsidRDefault="00D21AD7" w:rsidP="008417FE">
            <w:pPr>
              <w:tabs>
                <w:tab w:val="left" w:pos="-1095"/>
                <w:tab w:val="left" w:pos="-720"/>
              </w:tabs>
              <w:suppressAutoHyphens/>
              <w:spacing w:line="480" w:lineRule="auto"/>
              <w:jc w:val="both"/>
              <w:rPr>
                <w:rFonts w:ascii="Trebuchet MS" w:hAnsi="Trebuchet MS"/>
                <w:b/>
                <w:spacing w:val="-3"/>
              </w:rPr>
            </w:pPr>
            <w:r w:rsidRPr="00176502">
              <w:rPr>
                <w:rFonts w:ascii="Trebuchet MS" w:hAnsi="Trebuchet MS"/>
                <w:b/>
                <w:spacing w:val="-3"/>
              </w:rPr>
              <w:t>BETWEEN</w:t>
            </w:r>
          </w:p>
          <w:p w14:paraId="743C9DFA" w14:textId="77777777" w:rsidR="00D21AD7" w:rsidRPr="00176502" w:rsidRDefault="00D21AD7" w:rsidP="0089461E">
            <w:pPr>
              <w:tabs>
                <w:tab w:val="left" w:pos="-1095"/>
                <w:tab w:val="left" w:pos="-720"/>
              </w:tabs>
              <w:suppressAutoHyphens/>
              <w:jc w:val="both"/>
              <w:rPr>
                <w:rFonts w:ascii="Trebuchet MS" w:hAnsi="Trebuchet MS"/>
                <w:spacing w:val="-3"/>
              </w:rPr>
            </w:pPr>
            <w:r w:rsidRPr="00176502">
              <w:rPr>
                <w:rFonts w:ascii="Trebuchet MS" w:hAnsi="Trebuchet MS"/>
                <w:spacing w:val="-3"/>
              </w:rPr>
              <w:t xml:space="preserve">  </w:t>
            </w:r>
          </w:p>
          <w:p w14:paraId="54857083" w14:textId="77777777" w:rsidR="00081066" w:rsidRPr="00081066" w:rsidRDefault="00541CAC">
            <w:pPr>
              <w:tabs>
                <w:tab w:val="left" w:pos="-1095"/>
                <w:tab w:val="left" w:pos="-720"/>
              </w:tabs>
              <w:suppressAutoHyphens/>
              <w:jc w:val="center"/>
              <w:rPr>
                <w:rFonts w:ascii="Trebuchet MS" w:hAnsi="Trebuchet MS"/>
                <w:b/>
                <w:u w:val="single"/>
              </w:rPr>
            </w:pPr>
            <w:proofErr w:type="spellStart"/>
            <w:r>
              <w:rPr>
                <w:rFonts w:ascii="Trebuchet MS" w:hAnsi="Trebuchet MS"/>
                <w:b/>
              </w:rPr>
              <w:t>XSC</w:t>
            </w:r>
            <w:proofErr w:type="spellEnd"/>
            <w:r w:rsidR="00081066">
              <w:rPr>
                <w:rFonts w:ascii="Trebuchet MS" w:hAnsi="Trebuchet MS"/>
                <w:b/>
              </w:rPr>
              <w:t xml:space="preserve"> </w:t>
            </w:r>
            <w:r w:rsidR="00081066" w:rsidRPr="00081066">
              <w:rPr>
                <w:rFonts w:ascii="Trebuchet MS" w:hAnsi="Trebuchet MS"/>
                <w:b/>
              </w:rPr>
              <w:t>(A Protected Party by his Wife and</w:t>
            </w:r>
            <w:r w:rsidR="00081066">
              <w:rPr>
                <w:rFonts w:ascii="Trebuchet MS" w:hAnsi="Trebuchet MS"/>
                <w:b/>
              </w:rPr>
              <w:t xml:space="preserve"> </w:t>
            </w:r>
            <w:r w:rsidR="00081066" w:rsidRPr="00081066">
              <w:rPr>
                <w:rFonts w:ascii="Trebuchet MS" w:hAnsi="Trebuchet MS"/>
                <w:b/>
              </w:rPr>
              <w:t xml:space="preserve">Litigation Friend, </w:t>
            </w:r>
            <w:proofErr w:type="spellStart"/>
            <w:r>
              <w:rPr>
                <w:rFonts w:ascii="Trebuchet MS" w:hAnsi="Trebuchet MS"/>
                <w:b/>
              </w:rPr>
              <w:t>XMC</w:t>
            </w:r>
            <w:proofErr w:type="spellEnd"/>
            <w:r w:rsidR="00081066" w:rsidRPr="00081066">
              <w:rPr>
                <w:rFonts w:ascii="Trebuchet MS" w:hAnsi="Trebuchet MS"/>
                <w:b/>
              </w:rPr>
              <w:t>)</w:t>
            </w:r>
          </w:p>
          <w:p w14:paraId="1E3A32A0" w14:textId="77777777" w:rsidR="00D21AD7" w:rsidRPr="00176502" w:rsidRDefault="00D21AD7" w:rsidP="0089461E">
            <w:pPr>
              <w:tabs>
                <w:tab w:val="left" w:pos="-1095"/>
                <w:tab w:val="left" w:pos="-720"/>
              </w:tabs>
              <w:suppressAutoHyphens/>
              <w:jc w:val="center"/>
              <w:rPr>
                <w:rFonts w:ascii="Trebuchet MS" w:hAnsi="Trebuchet MS"/>
                <w:b/>
                <w:u w:val="single"/>
              </w:rPr>
            </w:pPr>
          </w:p>
          <w:p w14:paraId="39B4E038" w14:textId="77777777" w:rsidR="00D21AD7" w:rsidRPr="00176502" w:rsidRDefault="000300A6" w:rsidP="0089461E">
            <w:pPr>
              <w:tabs>
                <w:tab w:val="left" w:pos="-1095"/>
                <w:tab w:val="left" w:pos="-720"/>
              </w:tabs>
              <w:suppressAutoHyphens/>
              <w:jc w:val="right"/>
              <w:rPr>
                <w:rFonts w:ascii="Trebuchet MS" w:hAnsi="Trebuchet MS"/>
                <w:b/>
                <w:u w:val="single"/>
              </w:rPr>
            </w:pPr>
            <w:r>
              <w:rPr>
                <w:rFonts w:ascii="Trebuchet MS" w:hAnsi="Trebuchet MS"/>
                <w:b/>
                <w:u w:val="single"/>
              </w:rPr>
              <w:t>Claimant</w:t>
            </w:r>
          </w:p>
          <w:p w14:paraId="6B0A91BE" w14:textId="77777777" w:rsidR="00D21AD7" w:rsidRPr="00176502" w:rsidRDefault="00D21AD7" w:rsidP="0089461E">
            <w:pPr>
              <w:tabs>
                <w:tab w:val="left" w:pos="-1095"/>
                <w:tab w:val="left" w:pos="-720"/>
              </w:tabs>
              <w:suppressAutoHyphens/>
              <w:jc w:val="right"/>
              <w:rPr>
                <w:rFonts w:ascii="Trebuchet MS" w:hAnsi="Trebuchet MS"/>
                <w:b/>
              </w:rPr>
            </w:pPr>
          </w:p>
          <w:p w14:paraId="0F861838" w14:textId="77777777" w:rsidR="00D21AD7" w:rsidRPr="00176502" w:rsidRDefault="00D21AD7" w:rsidP="0089461E">
            <w:pPr>
              <w:tabs>
                <w:tab w:val="left" w:pos="-1095"/>
                <w:tab w:val="left" w:pos="-720"/>
              </w:tabs>
              <w:suppressAutoHyphens/>
              <w:jc w:val="center"/>
              <w:rPr>
                <w:rFonts w:ascii="Trebuchet MS" w:hAnsi="Trebuchet MS"/>
                <w:b/>
              </w:rPr>
            </w:pPr>
            <w:r w:rsidRPr="00176502">
              <w:rPr>
                <w:rFonts w:ascii="Trebuchet MS" w:hAnsi="Trebuchet MS"/>
                <w:b/>
              </w:rPr>
              <w:t>and</w:t>
            </w:r>
          </w:p>
          <w:p w14:paraId="265BC8EE" w14:textId="77777777" w:rsidR="00D21AD7" w:rsidRPr="00176502" w:rsidRDefault="00D21AD7" w:rsidP="0089461E">
            <w:pPr>
              <w:tabs>
                <w:tab w:val="left" w:pos="-1095"/>
                <w:tab w:val="left" w:pos="-720"/>
              </w:tabs>
              <w:suppressAutoHyphens/>
              <w:jc w:val="center"/>
              <w:rPr>
                <w:rFonts w:ascii="Trebuchet MS" w:hAnsi="Trebuchet MS"/>
                <w:b/>
              </w:rPr>
            </w:pPr>
          </w:p>
          <w:p w14:paraId="2A3808DC" w14:textId="77777777" w:rsidR="00D21AD7" w:rsidRPr="00176502" w:rsidRDefault="000300A6" w:rsidP="0089461E">
            <w:pPr>
              <w:tabs>
                <w:tab w:val="left" w:pos="-1095"/>
                <w:tab w:val="left" w:pos="-720"/>
              </w:tabs>
              <w:suppressAutoHyphens/>
              <w:jc w:val="center"/>
              <w:rPr>
                <w:rFonts w:ascii="Trebuchet MS" w:hAnsi="Trebuchet MS"/>
                <w:b/>
                <w:spacing w:val="-3"/>
              </w:rPr>
            </w:pPr>
            <w:r>
              <w:rPr>
                <w:rFonts w:ascii="Trebuchet MS" w:hAnsi="Trebuchet MS"/>
                <w:b/>
              </w:rPr>
              <w:t>ROYAL WOLVERHAMPTON NHS TRUST</w:t>
            </w:r>
          </w:p>
          <w:p w14:paraId="42B8B4D1" w14:textId="77777777" w:rsidR="00D21AD7" w:rsidRPr="00176502" w:rsidRDefault="000300A6" w:rsidP="0089461E">
            <w:pPr>
              <w:tabs>
                <w:tab w:val="left" w:pos="-1095"/>
                <w:tab w:val="left" w:pos="-720"/>
              </w:tabs>
              <w:suppressAutoHyphens/>
              <w:jc w:val="right"/>
              <w:rPr>
                <w:rFonts w:ascii="Trebuchet MS" w:hAnsi="Trebuchet MS"/>
                <w:b/>
                <w:u w:val="single"/>
              </w:rPr>
            </w:pPr>
            <w:r>
              <w:rPr>
                <w:rFonts w:ascii="Trebuchet MS" w:hAnsi="Trebuchet MS"/>
                <w:b/>
                <w:u w:val="single"/>
              </w:rPr>
              <w:t>Defendant</w:t>
            </w:r>
          </w:p>
          <w:p w14:paraId="42FD880C" w14:textId="77777777" w:rsidR="00D21AD7" w:rsidRPr="00176502" w:rsidRDefault="00D21AD7" w:rsidP="00F54252">
            <w:pPr>
              <w:tabs>
                <w:tab w:val="left" w:pos="-1095"/>
                <w:tab w:val="left" w:pos="-720"/>
                <w:tab w:val="right" w:pos="8364"/>
              </w:tabs>
              <w:suppressAutoHyphens/>
              <w:jc w:val="both"/>
              <w:rPr>
                <w:rFonts w:ascii="Trebuchet MS" w:hAnsi="Trebuchet MS"/>
                <w:b/>
                <w:spacing w:val="-3"/>
              </w:rPr>
            </w:pPr>
          </w:p>
          <w:p w14:paraId="13591133" w14:textId="77777777" w:rsidR="00D21AD7" w:rsidRPr="00176502" w:rsidRDefault="00D21AD7" w:rsidP="00F54252">
            <w:pPr>
              <w:pBdr>
                <w:bottom w:val="single" w:sz="6" w:space="1" w:color="auto"/>
              </w:pBdr>
              <w:tabs>
                <w:tab w:val="left" w:pos="-1095"/>
                <w:tab w:val="left" w:pos="-720"/>
                <w:tab w:val="right" w:pos="8364"/>
              </w:tabs>
              <w:suppressAutoHyphens/>
              <w:jc w:val="both"/>
              <w:rPr>
                <w:rFonts w:ascii="Trebuchet MS" w:hAnsi="Trebuchet MS"/>
                <w:b/>
                <w:spacing w:val="-3"/>
              </w:rPr>
            </w:pPr>
          </w:p>
          <w:p w14:paraId="5AF58706" w14:textId="77777777" w:rsidR="00D21AD7" w:rsidRPr="00176502" w:rsidRDefault="00D21AD7" w:rsidP="00F54252">
            <w:pPr>
              <w:tabs>
                <w:tab w:val="left" w:pos="-1095"/>
                <w:tab w:val="left" w:pos="-720"/>
                <w:tab w:val="right" w:pos="8364"/>
              </w:tabs>
              <w:suppressAutoHyphens/>
              <w:jc w:val="both"/>
              <w:rPr>
                <w:rFonts w:ascii="Trebuchet MS" w:hAnsi="Trebuchet MS"/>
                <w:b/>
                <w:spacing w:val="-3"/>
              </w:rPr>
            </w:pPr>
          </w:p>
          <w:p w14:paraId="1849E58C" w14:textId="77777777" w:rsidR="00D21AD7" w:rsidRPr="00176502" w:rsidRDefault="00D21AD7" w:rsidP="00F54252">
            <w:pPr>
              <w:tabs>
                <w:tab w:val="left" w:pos="-1095"/>
                <w:tab w:val="left" w:pos="-720"/>
                <w:tab w:val="right" w:pos="8364"/>
              </w:tabs>
              <w:suppressAutoHyphens/>
              <w:jc w:val="center"/>
              <w:rPr>
                <w:rFonts w:ascii="Trebuchet MS" w:hAnsi="Trebuchet MS"/>
                <w:b/>
                <w:spacing w:val="-3"/>
                <w:sz w:val="36"/>
                <w:szCs w:val="36"/>
              </w:rPr>
            </w:pPr>
            <w:r w:rsidRPr="00176502">
              <w:rPr>
                <w:rFonts w:ascii="Trebuchet MS" w:hAnsi="Trebuchet MS"/>
                <w:b/>
                <w:spacing w:val="-3"/>
                <w:sz w:val="36"/>
                <w:szCs w:val="36"/>
              </w:rPr>
              <w:t>ORDER</w:t>
            </w:r>
          </w:p>
          <w:p w14:paraId="65F7E2B4" w14:textId="77777777" w:rsidR="00D21AD7" w:rsidRPr="00176502" w:rsidRDefault="00D21AD7" w:rsidP="00F54252">
            <w:pPr>
              <w:pBdr>
                <w:bottom w:val="single" w:sz="6" w:space="1" w:color="auto"/>
              </w:pBdr>
              <w:tabs>
                <w:tab w:val="left" w:pos="-1095"/>
                <w:tab w:val="left" w:pos="-720"/>
                <w:tab w:val="right" w:pos="8364"/>
              </w:tabs>
              <w:suppressAutoHyphens/>
              <w:jc w:val="both"/>
              <w:rPr>
                <w:rFonts w:ascii="Trebuchet MS" w:hAnsi="Trebuchet MS"/>
                <w:b/>
                <w:spacing w:val="-3"/>
              </w:rPr>
            </w:pPr>
          </w:p>
          <w:p w14:paraId="71C11217" w14:textId="77777777" w:rsidR="00D21AD7" w:rsidRPr="00176502" w:rsidRDefault="00D21AD7" w:rsidP="00F54252">
            <w:pPr>
              <w:tabs>
                <w:tab w:val="left" w:pos="-1095"/>
                <w:tab w:val="left" w:pos="-720"/>
                <w:tab w:val="right" w:pos="8364"/>
              </w:tabs>
              <w:suppressAutoHyphens/>
              <w:jc w:val="both"/>
              <w:rPr>
                <w:rFonts w:ascii="Trebuchet MS" w:hAnsi="Trebuchet MS"/>
                <w:b/>
                <w:spacing w:val="-3"/>
              </w:rPr>
            </w:pPr>
          </w:p>
          <w:p w14:paraId="16E0027B" w14:textId="77777777" w:rsidR="00D21AD7" w:rsidRPr="00176502" w:rsidRDefault="00D21AD7" w:rsidP="00F54252">
            <w:pPr>
              <w:tabs>
                <w:tab w:val="left" w:pos="-1095"/>
                <w:tab w:val="left" w:pos="-720"/>
                <w:tab w:val="right" w:pos="8364"/>
              </w:tabs>
              <w:suppressAutoHyphens/>
              <w:jc w:val="both"/>
              <w:rPr>
                <w:rFonts w:ascii="Trebuchet MS" w:hAnsi="Trebuchet MS"/>
                <w:b/>
                <w:spacing w:val="-3"/>
              </w:rPr>
            </w:pPr>
          </w:p>
          <w:p w14:paraId="2ACBE18E" w14:textId="77777777" w:rsidR="00D21AD7" w:rsidRPr="00176502" w:rsidRDefault="00D21AD7" w:rsidP="00F54252">
            <w:pPr>
              <w:tabs>
                <w:tab w:val="left" w:pos="-1095"/>
                <w:tab w:val="left" w:pos="-720"/>
                <w:tab w:val="right" w:pos="8364"/>
              </w:tabs>
              <w:suppressAutoHyphens/>
              <w:jc w:val="both"/>
              <w:rPr>
                <w:rFonts w:ascii="Trebuchet MS" w:hAnsi="Trebuchet MS"/>
                <w:b/>
                <w:spacing w:val="-3"/>
              </w:rPr>
            </w:pPr>
          </w:p>
          <w:p w14:paraId="6A98D941" w14:textId="77777777" w:rsidR="00D21AD7" w:rsidRPr="00176502" w:rsidRDefault="00D21AD7" w:rsidP="00F54252">
            <w:pPr>
              <w:tabs>
                <w:tab w:val="left" w:pos="-1095"/>
                <w:tab w:val="left" w:pos="-720"/>
                <w:tab w:val="right" w:pos="8364"/>
              </w:tabs>
              <w:suppressAutoHyphens/>
              <w:rPr>
                <w:rFonts w:ascii="Trebuchet MS" w:hAnsi="Trebuchet MS"/>
                <w:spacing w:val="-3"/>
              </w:rPr>
            </w:pPr>
            <w:r w:rsidRPr="00176502">
              <w:rPr>
                <w:rFonts w:ascii="Trebuchet MS" w:hAnsi="Trebuchet MS"/>
                <w:spacing w:val="-3"/>
              </w:rPr>
              <w:t>BROWNE JACOBSON LLP</w:t>
            </w:r>
          </w:p>
          <w:p w14:paraId="04D37632" w14:textId="77777777" w:rsidR="00D21AD7" w:rsidRPr="00176502" w:rsidRDefault="000300A6" w:rsidP="00F54252">
            <w:pPr>
              <w:tabs>
                <w:tab w:val="left" w:pos="-1095"/>
                <w:tab w:val="left" w:pos="-720"/>
                <w:tab w:val="right" w:pos="8364"/>
              </w:tabs>
              <w:suppressAutoHyphens/>
              <w:rPr>
                <w:rFonts w:ascii="Trebuchet MS" w:hAnsi="Trebuchet MS"/>
                <w:spacing w:val="-3"/>
              </w:rPr>
            </w:pPr>
            <w:r>
              <w:rPr>
                <w:rFonts w:ascii="Trebuchet MS" w:hAnsi="Trebuchet MS"/>
                <w:spacing w:val="-3"/>
              </w:rPr>
              <w:t>Victoria Square House</w:t>
            </w:r>
          </w:p>
          <w:p w14:paraId="3F6A1F00" w14:textId="77777777" w:rsidR="00D21AD7" w:rsidRPr="00176502" w:rsidRDefault="000300A6" w:rsidP="00F54252">
            <w:pPr>
              <w:tabs>
                <w:tab w:val="left" w:pos="-1095"/>
                <w:tab w:val="left" w:pos="-720"/>
                <w:tab w:val="right" w:pos="8364"/>
              </w:tabs>
              <w:suppressAutoHyphens/>
              <w:rPr>
                <w:rFonts w:ascii="Trebuchet MS" w:hAnsi="Trebuchet MS"/>
                <w:spacing w:val="-3"/>
              </w:rPr>
            </w:pPr>
            <w:r>
              <w:rPr>
                <w:rFonts w:ascii="Trebuchet MS" w:hAnsi="Trebuchet MS"/>
                <w:spacing w:val="-3"/>
              </w:rPr>
              <w:t>Victoria Square</w:t>
            </w:r>
          </w:p>
          <w:p w14:paraId="65341DBC" w14:textId="77777777" w:rsidR="00D21AD7" w:rsidRPr="00176502" w:rsidRDefault="000300A6" w:rsidP="00F54252">
            <w:pPr>
              <w:tabs>
                <w:tab w:val="left" w:pos="-1095"/>
                <w:tab w:val="left" w:pos="-720"/>
                <w:tab w:val="right" w:pos="8364"/>
              </w:tabs>
              <w:suppressAutoHyphens/>
              <w:rPr>
                <w:rFonts w:ascii="Trebuchet MS" w:hAnsi="Trebuchet MS"/>
                <w:spacing w:val="-3"/>
              </w:rPr>
            </w:pPr>
            <w:r>
              <w:rPr>
                <w:rFonts w:ascii="Trebuchet MS" w:hAnsi="Trebuchet MS"/>
                <w:spacing w:val="-3"/>
              </w:rPr>
              <w:t>Birmingham</w:t>
            </w:r>
          </w:p>
          <w:p w14:paraId="1B65B43A" w14:textId="77777777" w:rsidR="00D21AD7" w:rsidRPr="00176502" w:rsidRDefault="000300A6" w:rsidP="00F54252">
            <w:pPr>
              <w:tabs>
                <w:tab w:val="left" w:pos="-1095"/>
                <w:tab w:val="left" w:pos="-720"/>
                <w:tab w:val="right" w:pos="8364"/>
              </w:tabs>
              <w:suppressAutoHyphens/>
              <w:rPr>
                <w:rFonts w:ascii="Trebuchet MS" w:hAnsi="Trebuchet MS"/>
                <w:spacing w:val="-3"/>
              </w:rPr>
            </w:pPr>
            <w:r>
              <w:rPr>
                <w:rFonts w:ascii="Trebuchet MS" w:hAnsi="Trebuchet MS"/>
                <w:spacing w:val="-3"/>
              </w:rPr>
              <w:t xml:space="preserve">B2 </w:t>
            </w:r>
            <w:proofErr w:type="spellStart"/>
            <w:r>
              <w:rPr>
                <w:rFonts w:ascii="Trebuchet MS" w:hAnsi="Trebuchet MS"/>
                <w:spacing w:val="-3"/>
              </w:rPr>
              <w:t>4BU</w:t>
            </w:r>
            <w:proofErr w:type="spellEnd"/>
          </w:p>
          <w:p w14:paraId="27BFE35F" w14:textId="77777777" w:rsidR="00D21AD7" w:rsidRPr="00176502" w:rsidRDefault="00D21AD7" w:rsidP="00F54252">
            <w:pPr>
              <w:tabs>
                <w:tab w:val="left" w:pos="-1095"/>
                <w:tab w:val="left" w:pos="-720"/>
                <w:tab w:val="right" w:pos="8364"/>
              </w:tabs>
              <w:suppressAutoHyphens/>
              <w:rPr>
                <w:rFonts w:ascii="Trebuchet MS" w:hAnsi="Trebuchet MS"/>
                <w:spacing w:val="-3"/>
              </w:rPr>
            </w:pPr>
          </w:p>
          <w:p w14:paraId="0782863C" w14:textId="77777777" w:rsidR="00D21AD7" w:rsidRPr="00176502" w:rsidRDefault="00D21AD7" w:rsidP="00F54252">
            <w:pPr>
              <w:tabs>
                <w:tab w:val="left" w:pos="-1095"/>
                <w:tab w:val="left" w:pos="-720"/>
                <w:tab w:val="right" w:pos="8364"/>
              </w:tabs>
              <w:suppressAutoHyphens/>
              <w:rPr>
                <w:rFonts w:ascii="Trebuchet MS" w:hAnsi="Trebuchet MS"/>
                <w:b/>
                <w:spacing w:val="-3"/>
              </w:rPr>
            </w:pPr>
            <w:r w:rsidRPr="00176502">
              <w:rPr>
                <w:rFonts w:ascii="Trebuchet MS" w:hAnsi="Trebuchet MS"/>
                <w:b/>
                <w:spacing w:val="-3"/>
                <w:u w:val="single"/>
              </w:rPr>
              <w:t xml:space="preserve">Solicitors for the </w:t>
            </w:r>
            <w:r w:rsidR="000300A6">
              <w:rPr>
                <w:rFonts w:ascii="Trebuchet MS" w:hAnsi="Trebuchet MS"/>
                <w:b/>
                <w:spacing w:val="-3"/>
                <w:u w:val="single"/>
              </w:rPr>
              <w:t>Defendant</w:t>
            </w:r>
          </w:p>
          <w:p w14:paraId="356473A7" w14:textId="77777777" w:rsidR="00D21AD7" w:rsidRPr="00176502" w:rsidRDefault="00D21AD7" w:rsidP="00F54252">
            <w:pPr>
              <w:tabs>
                <w:tab w:val="left" w:pos="-1095"/>
                <w:tab w:val="left" w:pos="-720"/>
                <w:tab w:val="right" w:pos="8364"/>
              </w:tabs>
              <w:suppressAutoHyphens/>
              <w:rPr>
                <w:rFonts w:ascii="Trebuchet MS" w:hAnsi="Trebuchet MS"/>
                <w:spacing w:val="-3"/>
              </w:rPr>
            </w:pPr>
          </w:p>
          <w:p w14:paraId="69B5AEEC" w14:textId="77777777" w:rsidR="00D21AD7" w:rsidRPr="00176502" w:rsidRDefault="00D21AD7" w:rsidP="00F54252">
            <w:pPr>
              <w:tabs>
                <w:tab w:val="left" w:pos="-1095"/>
                <w:tab w:val="left" w:pos="-720"/>
                <w:tab w:val="right" w:pos="8364"/>
              </w:tabs>
              <w:suppressAutoHyphens/>
              <w:rPr>
                <w:rFonts w:ascii="Trebuchet MS" w:hAnsi="Trebuchet MS"/>
                <w:b/>
                <w:spacing w:val="-3"/>
              </w:rPr>
            </w:pPr>
            <w:r w:rsidRPr="00176502">
              <w:rPr>
                <w:rFonts w:ascii="Trebuchet MS" w:hAnsi="Trebuchet MS"/>
                <w:spacing w:val="-3"/>
              </w:rPr>
              <w:t xml:space="preserve">Ref: </w:t>
            </w:r>
            <w:proofErr w:type="spellStart"/>
            <w:r w:rsidR="000300A6">
              <w:rPr>
                <w:rFonts w:ascii="Trebuchet MS" w:hAnsi="Trebuchet MS"/>
              </w:rPr>
              <w:t>MCHA02</w:t>
            </w:r>
            <w:proofErr w:type="spellEnd"/>
            <w:r w:rsidRPr="00176502">
              <w:rPr>
                <w:rFonts w:ascii="Trebuchet MS" w:hAnsi="Trebuchet MS"/>
              </w:rPr>
              <w:t>/</w:t>
            </w:r>
            <w:r w:rsidR="000300A6">
              <w:rPr>
                <w:rFonts w:ascii="Trebuchet MS" w:hAnsi="Trebuchet MS"/>
              </w:rPr>
              <w:t>050021.29989</w:t>
            </w:r>
          </w:p>
          <w:p w14:paraId="7A048B18" w14:textId="77777777" w:rsidR="00D21AD7" w:rsidRPr="00176502" w:rsidRDefault="00D21AD7" w:rsidP="0089461E">
            <w:pPr>
              <w:tabs>
                <w:tab w:val="left" w:pos="-1095"/>
                <w:tab w:val="left" w:pos="-720"/>
              </w:tabs>
              <w:suppressAutoHyphens/>
              <w:jc w:val="right"/>
              <w:rPr>
                <w:rFonts w:ascii="Trebuchet MS" w:hAnsi="Trebuchet MS"/>
                <w:b/>
              </w:rPr>
            </w:pPr>
          </w:p>
        </w:tc>
      </w:tr>
      <w:bookmarkEnd w:id="4"/>
    </w:tbl>
    <w:p w14:paraId="40401537" w14:textId="77777777" w:rsidR="00E3308B" w:rsidRPr="00042FA9" w:rsidRDefault="00E3308B" w:rsidP="00042FA9">
      <w:pPr>
        <w:jc w:val="right"/>
      </w:pPr>
    </w:p>
    <w:p w14:paraId="757AA75C" w14:textId="77777777" w:rsidR="000B5A50" w:rsidRDefault="000B5A50" w:rsidP="00DB56EF">
      <w:pPr>
        <w:spacing w:line="480" w:lineRule="auto"/>
        <w:jc w:val="both"/>
      </w:pPr>
    </w:p>
    <w:sectPr w:rsidR="000B5A50" w:rsidSect="001E53B2">
      <w:footerReference w:type="default" r:id="rId26"/>
      <w:pgSz w:w="11907" w:h="16840" w:code="9"/>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18EBA" w14:textId="77777777" w:rsidR="00EE5CE7" w:rsidRDefault="00EE5CE7">
      <w:r>
        <w:separator/>
      </w:r>
    </w:p>
  </w:endnote>
  <w:endnote w:type="continuationSeparator" w:id="0">
    <w:p w14:paraId="55B3EDD2" w14:textId="77777777" w:rsidR="00EE5CE7" w:rsidRDefault="00EE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iDocIDFieldfaf5a293-f8db-49b3-a011-ba4f"/>
  <w:p w14:paraId="4A8EC4F7" w14:textId="001A2638" w:rsidR="003A193F" w:rsidRDefault="003A193F">
    <w:pPr>
      <w:pStyle w:val="DocID"/>
    </w:pPr>
    <w:r>
      <w:fldChar w:fldCharType="begin"/>
    </w:r>
    <w:r>
      <w:instrText xml:space="preserve">  DOCPROPERTY "CUS_DocIDChunk0" </w:instrText>
    </w:r>
    <w:r>
      <w:fldChar w:fldCharType="separate"/>
    </w:r>
    <w:r w:rsidR="00C81EF9">
      <w:t>LEGAL\</w:t>
    </w:r>
    <w:proofErr w:type="spellStart"/>
    <w:r w:rsidR="00C81EF9">
      <w:t>51149084v1</w:t>
    </w:r>
    <w:proofErr w:type="spellEnd"/>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60716" w14:textId="77777777" w:rsidR="003A193F" w:rsidRDefault="003A193F" w:rsidP="00EB443A">
    <w:pPr>
      <w:pStyle w:val="Footer"/>
      <w:jc w:val="center"/>
    </w:pPr>
    <w:r>
      <w:rPr>
        <w:rStyle w:val="PageNumber"/>
      </w:rPr>
      <w:fldChar w:fldCharType="begin"/>
    </w:r>
    <w:r>
      <w:rPr>
        <w:rStyle w:val="PageNumber"/>
      </w:rPr>
      <w:instrText xml:space="preserve"> PAGE </w:instrText>
    </w:r>
    <w:r>
      <w:rPr>
        <w:rStyle w:val="PageNumber"/>
      </w:rPr>
      <w:fldChar w:fldCharType="separate"/>
    </w:r>
    <w:r w:rsidR="00C15D44">
      <w:rPr>
        <w:rStyle w:val="PageNumber"/>
        <w:noProof/>
      </w:rPr>
      <w:t>17</w:t>
    </w:r>
    <w:r>
      <w:rPr>
        <w:rStyle w:val="PageNumber"/>
      </w:rPr>
      <w:fldChar w:fldCharType="end"/>
    </w:r>
  </w:p>
  <w:bookmarkStart w:id="2" w:name="_iDocIDField7499ee46-607b-472d-974d-5581"/>
  <w:p w14:paraId="26BA8EBE" w14:textId="4CE73CB7" w:rsidR="003A193F" w:rsidRDefault="003A193F">
    <w:pPr>
      <w:pStyle w:val="DocID"/>
    </w:pPr>
    <w:r>
      <w:fldChar w:fldCharType="begin"/>
    </w:r>
    <w:r>
      <w:instrText xml:space="preserve">  DOCPROPERTY "CUS_DocIDChunk0" </w:instrText>
    </w:r>
    <w:r>
      <w:fldChar w:fldCharType="separate"/>
    </w:r>
    <w:r w:rsidR="00C81EF9">
      <w:t>LEGAL\</w:t>
    </w:r>
    <w:proofErr w:type="spellStart"/>
    <w:r w:rsidR="00C81EF9">
      <w:t>51149084v1</w:t>
    </w:r>
    <w:proofErr w:type="spellEnd"/>
    <w:r>
      <w:fldChar w:fldCharType="end"/>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iDocIDFieldecd816f3-180b-47f6-b4e5-8e07"/>
  <w:p w14:paraId="112596B4" w14:textId="52456101" w:rsidR="003A193F" w:rsidRDefault="003A193F">
    <w:pPr>
      <w:pStyle w:val="DocID"/>
    </w:pPr>
    <w:r>
      <w:fldChar w:fldCharType="begin"/>
    </w:r>
    <w:r>
      <w:instrText xml:space="preserve">  DOCPROPERTY "CUS_DocIDChunk0" </w:instrText>
    </w:r>
    <w:r>
      <w:fldChar w:fldCharType="separate"/>
    </w:r>
    <w:r w:rsidR="00C81EF9">
      <w:t>LEGAL\</w:t>
    </w:r>
    <w:proofErr w:type="spellStart"/>
    <w:r w:rsidR="00C81EF9">
      <w:t>51149084v1</w:t>
    </w:r>
    <w:proofErr w:type="spellEnd"/>
    <w:r>
      <w:fldChar w:fldCharType="end"/>
    </w:r>
    <w:bookmarkEnd w:id="3"/>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5" w:name="_iDocIDField050ee99e-ea3e-48df-a4db-6643"/>
  <w:p w14:paraId="7C82D6C4" w14:textId="10256010" w:rsidR="003A193F" w:rsidRDefault="003A193F">
    <w:pPr>
      <w:pStyle w:val="DocID"/>
    </w:pPr>
    <w:r>
      <w:fldChar w:fldCharType="begin"/>
    </w:r>
    <w:r>
      <w:instrText xml:space="preserve">  DOCPROPERTY "CUS_DocIDChunk0" </w:instrText>
    </w:r>
    <w:r>
      <w:fldChar w:fldCharType="separate"/>
    </w:r>
    <w:r w:rsidR="00C81EF9">
      <w:t>LEGAL\</w:t>
    </w:r>
    <w:proofErr w:type="spellStart"/>
    <w:r w:rsidR="00C81EF9">
      <w:t>51149084v1</w:t>
    </w:r>
    <w:proofErr w:type="spellEnd"/>
    <w:r>
      <w:fldChar w:fldCharType="end"/>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D6855" w14:textId="77777777" w:rsidR="00EE5CE7" w:rsidRDefault="00EE5CE7">
      <w:r>
        <w:separator/>
      </w:r>
    </w:p>
  </w:footnote>
  <w:footnote w:type="continuationSeparator" w:id="0">
    <w:p w14:paraId="4CDDA470" w14:textId="77777777" w:rsidR="00EE5CE7" w:rsidRDefault="00EE5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9F0AB" w14:textId="77777777" w:rsidR="00D21AD7" w:rsidRDefault="00D21A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93958" w14:textId="77777777" w:rsidR="00D21AD7" w:rsidRDefault="00D21A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B70DD" w14:textId="77777777" w:rsidR="00D21AD7" w:rsidRDefault="00D21A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52A53"/>
    <w:multiLevelType w:val="hybridMultilevel"/>
    <w:tmpl w:val="70FCD4A4"/>
    <w:lvl w:ilvl="0" w:tplc="0809000F">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80A2C"/>
    <w:multiLevelType w:val="hybridMultilevel"/>
    <w:tmpl w:val="C3D8DF36"/>
    <w:lvl w:ilvl="0" w:tplc="0809000F">
      <w:start w:val="1"/>
      <w:numFmt w:val="decimal"/>
      <w:lvlText w:val="%1."/>
      <w:lvlJc w:val="left"/>
      <w:pPr>
        <w:tabs>
          <w:tab w:val="num" w:pos="360"/>
        </w:tabs>
        <w:ind w:left="360" w:hanging="360"/>
      </w:pPr>
    </w:lvl>
    <w:lvl w:ilvl="1" w:tplc="0316A176">
      <w:start w:val="1"/>
      <w:numFmt w:val="lowerRoman"/>
      <w:lvlText w:val="%2."/>
      <w:lvlJc w:val="left"/>
      <w:pPr>
        <w:tabs>
          <w:tab w:val="num" w:pos="1080"/>
        </w:tabs>
        <w:ind w:left="1080" w:hanging="360"/>
      </w:pPr>
      <w:rPr>
        <w:rFonts w:hint="default"/>
      </w:rPr>
    </w:lvl>
    <w:lvl w:ilvl="2" w:tplc="0809000F">
      <w:start w:val="1"/>
      <w:numFmt w:val="decimal"/>
      <w:lvlText w:val="%3."/>
      <w:lvlJc w:val="left"/>
      <w:pPr>
        <w:tabs>
          <w:tab w:val="num" w:pos="1980"/>
        </w:tabs>
        <w:ind w:left="198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C8449F"/>
    <w:multiLevelType w:val="hybridMultilevel"/>
    <w:tmpl w:val="606A5D64"/>
    <w:lvl w:ilvl="0" w:tplc="B0C04792">
      <w:start w:val="1"/>
      <w:numFmt w:val="decimal"/>
      <w:lvlText w:val="%1."/>
      <w:lvlJc w:val="left"/>
      <w:pPr>
        <w:tabs>
          <w:tab w:val="num" w:pos="1211"/>
        </w:tabs>
        <w:ind w:left="1211" w:hanging="360"/>
      </w:pPr>
      <w:rPr>
        <w:rFonts w:hint="default"/>
      </w:rPr>
    </w:lvl>
    <w:lvl w:ilvl="1" w:tplc="2500B77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827017"/>
    <w:multiLevelType w:val="hybridMultilevel"/>
    <w:tmpl w:val="9ECC626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AE1D96"/>
    <w:multiLevelType w:val="hybridMultilevel"/>
    <w:tmpl w:val="07C67B32"/>
    <w:lvl w:ilvl="0" w:tplc="08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4D442D4"/>
    <w:multiLevelType w:val="hybridMultilevel"/>
    <w:tmpl w:val="060697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8771DB"/>
    <w:multiLevelType w:val="hybridMultilevel"/>
    <w:tmpl w:val="7A92CB8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4D0F007E"/>
    <w:multiLevelType w:val="hybridMultilevel"/>
    <w:tmpl w:val="DCA2DFC8"/>
    <w:lvl w:ilvl="0" w:tplc="57F6D4E4">
      <w:start w:val="1"/>
      <w:numFmt w:val="lowerLetter"/>
      <w:lvlText w:val="(%1)"/>
      <w:lvlJc w:val="left"/>
      <w:pPr>
        <w:tabs>
          <w:tab w:val="num" w:pos="1080"/>
        </w:tabs>
        <w:ind w:left="1080" w:hanging="720"/>
      </w:pPr>
      <w:rPr>
        <w:rFonts w:hint="default"/>
      </w:rPr>
    </w:lvl>
    <w:lvl w:ilvl="1" w:tplc="AEEE8C3A">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55C02F9"/>
    <w:multiLevelType w:val="hybridMultilevel"/>
    <w:tmpl w:val="F822E2E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6FB26AE"/>
    <w:multiLevelType w:val="hybridMultilevel"/>
    <w:tmpl w:val="28DA84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ED13222"/>
    <w:multiLevelType w:val="hybridMultilevel"/>
    <w:tmpl w:val="51324D52"/>
    <w:lvl w:ilvl="0" w:tplc="8AE4C474">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93E506F"/>
    <w:multiLevelType w:val="hybridMultilevel"/>
    <w:tmpl w:val="F732DF1C"/>
    <w:lvl w:ilvl="0" w:tplc="04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2"/>
  </w:num>
  <w:num w:numId="4">
    <w:abstractNumId w:val="10"/>
  </w:num>
  <w:num w:numId="5">
    <w:abstractNumId w:val="0"/>
  </w:num>
  <w:num w:numId="6">
    <w:abstractNumId w:val="3"/>
  </w:num>
  <w:num w:numId="7">
    <w:abstractNumId w:val="4"/>
  </w:num>
  <w:num w:numId="8">
    <w:abstractNumId w:val="6"/>
  </w:num>
  <w:num w:numId="9">
    <w:abstractNumId w:val="1"/>
  </w:num>
  <w:num w:numId="10">
    <w:abstractNumId w:val="1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485C"/>
    <w:rsid w:val="000032B5"/>
    <w:rsid w:val="00017E6C"/>
    <w:rsid w:val="000300A6"/>
    <w:rsid w:val="0004140D"/>
    <w:rsid w:val="00042FA9"/>
    <w:rsid w:val="00050100"/>
    <w:rsid w:val="000617D0"/>
    <w:rsid w:val="0007225A"/>
    <w:rsid w:val="00081066"/>
    <w:rsid w:val="000A48D0"/>
    <w:rsid w:val="000B5A50"/>
    <w:rsid w:val="000B663F"/>
    <w:rsid w:val="000C6EC2"/>
    <w:rsid w:val="000E08BC"/>
    <w:rsid w:val="000E246B"/>
    <w:rsid w:val="000E28AE"/>
    <w:rsid w:val="000F2F0C"/>
    <w:rsid w:val="00101152"/>
    <w:rsid w:val="001067FC"/>
    <w:rsid w:val="001110C3"/>
    <w:rsid w:val="00117586"/>
    <w:rsid w:val="00136EF8"/>
    <w:rsid w:val="00145A00"/>
    <w:rsid w:val="00160CA0"/>
    <w:rsid w:val="00173C42"/>
    <w:rsid w:val="00190C74"/>
    <w:rsid w:val="001A1DBB"/>
    <w:rsid w:val="001A291C"/>
    <w:rsid w:val="001A696B"/>
    <w:rsid w:val="001C48F4"/>
    <w:rsid w:val="001C6043"/>
    <w:rsid w:val="001D0203"/>
    <w:rsid w:val="001D6DCA"/>
    <w:rsid w:val="001E53B2"/>
    <w:rsid w:val="001F0F1E"/>
    <w:rsid w:val="00201AC4"/>
    <w:rsid w:val="00204A38"/>
    <w:rsid w:val="00220F50"/>
    <w:rsid w:val="002228D8"/>
    <w:rsid w:val="00234342"/>
    <w:rsid w:val="002522F6"/>
    <w:rsid w:val="002556F6"/>
    <w:rsid w:val="002659D7"/>
    <w:rsid w:val="0029626F"/>
    <w:rsid w:val="002B485C"/>
    <w:rsid w:val="002C21C6"/>
    <w:rsid w:val="002D6053"/>
    <w:rsid w:val="002E01CB"/>
    <w:rsid w:val="002E693D"/>
    <w:rsid w:val="002F7F0E"/>
    <w:rsid w:val="0030246F"/>
    <w:rsid w:val="00302EE2"/>
    <w:rsid w:val="003057F6"/>
    <w:rsid w:val="00337BB6"/>
    <w:rsid w:val="00372135"/>
    <w:rsid w:val="00375334"/>
    <w:rsid w:val="00382AEC"/>
    <w:rsid w:val="003A0615"/>
    <w:rsid w:val="003A0C41"/>
    <w:rsid w:val="003A193F"/>
    <w:rsid w:val="003A653C"/>
    <w:rsid w:val="003C3149"/>
    <w:rsid w:val="003D19D9"/>
    <w:rsid w:val="003D250B"/>
    <w:rsid w:val="003D2D02"/>
    <w:rsid w:val="003D512C"/>
    <w:rsid w:val="003D7E17"/>
    <w:rsid w:val="003E26E5"/>
    <w:rsid w:val="003E608C"/>
    <w:rsid w:val="003E6B3F"/>
    <w:rsid w:val="00403C0B"/>
    <w:rsid w:val="004226EF"/>
    <w:rsid w:val="00424C19"/>
    <w:rsid w:val="0043312A"/>
    <w:rsid w:val="00440598"/>
    <w:rsid w:val="00440F59"/>
    <w:rsid w:val="00450226"/>
    <w:rsid w:val="004522D2"/>
    <w:rsid w:val="00457007"/>
    <w:rsid w:val="0047038E"/>
    <w:rsid w:val="0048512C"/>
    <w:rsid w:val="004872DE"/>
    <w:rsid w:val="004A3157"/>
    <w:rsid w:val="004A465D"/>
    <w:rsid w:val="004B0947"/>
    <w:rsid w:val="004B16A7"/>
    <w:rsid w:val="004B37D0"/>
    <w:rsid w:val="004D3F57"/>
    <w:rsid w:val="004E03C3"/>
    <w:rsid w:val="004E0654"/>
    <w:rsid w:val="004E2698"/>
    <w:rsid w:val="004F247A"/>
    <w:rsid w:val="004F343E"/>
    <w:rsid w:val="005102F7"/>
    <w:rsid w:val="005372B8"/>
    <w:rsid w:val="00541CAC"/>
    <w:rsid w:val="005569C0"/>
    <w:rsid w:val="00561424"/>
    <w:rsid w:val="005726E0"/>
    <w:rsid w:val="005869EB"/>
    <w:rsid w:val="005924C7"/>
    <w:rsid w:val="00594ECD"/>
    <w:rsid w:val="005A37B4"/>
    <w:rsid w:val="005A71BA"/>
    <w:rsid w:val="005C011C"/>
    <w:rsid w:val="005C444D"/>
    <w:rsid w:val="005C627F"/>
    <w:rsid w:val="005D2BD5"/>
    <w:rsid w:val="005D7061"/>
    <w:rsid w:val="005F06EC"/>
    <w:rsid w:val="005F119A"/>
    <w:rsid w:val="005F1960"/>
    <w:rsid w:val="00606752"/>
    <w:rsid w:val="006224B1"/>
    <w:rsid w:val="00627A6F"/>
    <w:rsid w:val="00632D24"/>
    <w:rsid w:val="00634CF8"/>
    <w:rsid w:val="006467A8"/>
    <w:rsid w:val="00654593"/>
    <w:rsid w:val="00672C18"/>
    <w:rsid w:val="00680E60"/>
    <w:rsid w:val="00685633"/>
    <w:rsid w:val="00692463"/>
    <w:rsid w:val="00696A59"/>
    <w:rsid w:val="00697980"/>
    <w:rsid w:val="006A2D62"/>
    <w:rsid w:val="006D2B75"/>
    <w:rsid w:val="006D4B98"/>
    <w:rsid w:val="006E3455"/>
    <w:rsid w:val="006E4F22"/>
    <w:rsid w:val="006F2EFE"/>
    <w:rsid w:val="007060B6"/>
    <w:rsid w:val="00711669"/>
    <w:rsid w:val="00717834"/>
    <w:rsid w:val="0072574D"/>
    <w:rsid w:val="00734A8A"/>
    <w:rsid w:val="00737EC5"/>
    <w:rsid w:val="0074097A"/>
    <w:rsid w:val="007424DE"/>
    <w:rsid w:val="00743B64"/>
    <w:rsid w:val="0075371C"/>
    <w:rsid w:val="00770BCD"/>
    <w:rsid w:val="00781858"/>
    <w:rsid w:val="0079423C"/>
    <w:rsid w:val="00797744"/>
    <w:rsid w:val="007A5597"/>
    <w:rsid w:val="007D1196"/>
    <w:rsid w:val="007D19E0"/>
    <w:rsid w:val="007E2422"/>
    <w:rsid w:val="007F520B"/>
    <w:rsid w:val="007F6C15"/>
    <w:rsid w:val="008111BA"/>
    <w:rsid w:val="00812615"/>
    <w:rsid w:val="00823AEE"/>
    <w:rsid w:val="00827B9C"/>
    <w:rsid w:val="00834AAD"/>
    <w:rsid w:val="00841911"/>
    <w:rsid w:val="00846747"/>
    <w:rsid w:val="00852940"/>
    <w:rsid w:val="00872B99"/>
    <w:rsid w:val="00875156"/>
    <w:rsid w:val="00875DF1"/>
    <w:rsid w:val="008776C2"/>
    <w:rsid w:val="0088184B"/>
    <w:rsid w:val="00886E3C"/>
    <w:rsid w:val="008A5A46"/>
    <w:rsid w:val="008B7AA6"/>
    <w:rsid w:val="008D5334"/>
    <w:rsid w:val="00924884"/>
    <w:rsid w:val="009265C0"/>
    <w:rsid w:val="00946620"/>
    <w:rsid w:val="0095210D"/>
    <w:rsid w:val="009563A1"/>
    <w:rsid w:val="009577D7"/>
    <w:rsid w:val="00963DCA"/>
    <w:rsid w:val="0097798F"/>
    <w:rsid w:val="009843EF"/>
    <w:rsid w:val="00991069"/>
    <w:rsid w:val="009A36D7"/>
    <w:rsid w:val="009A668B"/>
    <w:rsid w:val="009B61DC"/>
    <w:rsid w:val="009B74AF"/>
    <w:rsid w:val="009D0A14"/>
    <w:rsid w:val="009E6D32"/>
    <w:rsid w:val="00A0027B"/>
    <w:rsid w:val="00A02025"/>
    <w:rsid w:val="00A05D73"/>
    <w:rsid w:val="00A10E48"/>
    <w:rsid w:val="00A152A2"/>
    <w:rsid w:val="00A21A9E"/>
    <w:rsid w:val="00A22A77"/>
    <w:rsid w:val="00A24638"/>
    <w:rsid w:val="00A63A8D"/>
    <w:rsid w:val="00A6405E"/>
    <w:rsid w:val="00A71957"/>
    <w:rsid w:val="00A8430A"/>
    <w:rsid w:val="00A84FC6"/>
    <w:rsid w:val="00AB1B3F"/>
    <w:rsid w:val="00AC1128"/>
    <w:rsid w:val="00AC34AE"/>
    <w:rsid w:val="00AC53B3"/>
    <w:rsid w:val="00AD1221"/>
    <w:rsid w:val="00AD2A45"/>
    <w:rsid w:val="00AD3A6A"/>
    <w:rsid w:val="00B30233"/>
    <w:rsid w:val="00B508D6"/>
    <w:rsid w:val="00B6289A"/>
    <w:rsid w:val="00B64EA1"/>
    <w:rsid w:val="00B66A96"/>
    <w:rsid w:val="00B748C7"/>
    <w:rsid w:val="00B76F55"/>
    <w:rsid w:val="00B97D81"/>
    <w:rsid w:val="00BA6C69"/>
    <w:rsid w:val="00BC6E70"/>
    <w:rsid w:val="00BF5BDC"/>
    <w:rsid w:val="00C15D44"/>
    <w:rsid w:val="00C45B23"/>
    <w:rsid w:val="00C46F0B"/>
    <w:rsid w:val="00C624FE"/>
    <w:rsid w:val="00C62B83"/>
    <w:rsid w:val="00C81EF9"/>
    <w:rsid w:val="00C93BB9"/>
    <w:rsid w:val="00C965C5"/>
    <w:rsid w:val="00CA7FF1"/>
    <w:rsid w:val="00CB651C"/>
    <w:rsid w:val="00CD56E2"/>
    <w:rsid w:val="00CD6406"/>
    <w:rsid w:val="00CF1005"/>
    <w:rsid w:val="00CF302F"/>
    <w:rsid w:val="00D05C81"/>
    <w:rsid w:val="00D21AD7"/>
    <w:rsid w:val="00D50C5C"/>
    <w:rsid w:val="00D525B3"/>
    <w:rsid w:val="00D778DB"/>
    <w:rsid w:val="00D81B13"/>
    <w:rsid w:val="00D87834"/>
    <w:rsid w:val="00D9388E"/>
    <w:rsid w:val="00D942A8"/>
    <w:rsid w:val="00D96BC0"/>
    <w:rsid w:val="00DB13F8"/>
    <w:rsid w:val="00DB3A4B"/>
    <w:rsid w:val="00DB56EF"/>
    <w:rsid w:val="00DB5ACC"/>
    <w:rsid w:val="00DC375D"/>
    <w:rsid w:val="00DF2152"/>
    <w:rsid w:val="00E06CFD"/>
    <w:rsid w:val="00E104C1"/>
    <w:rsid w:val="00E14F62"/>
    <w:rsid w:val="00E168F9"/>
    <w:rsid w:val="00E3242D"/>
    <w:rsid w:val="00E3308B"/>
    <w:rsid w:val="00E337EE"/>
    <w:rsid w:val="00E43180"/>
    <w:rsid w:val="00E44464"/>
    <w:rsid w:val="00E50D3D"/>
    <w:rsid w:val="00E74E69"/>
    <w:rsid w:val="00EC076B"/>
    <w:rsid w:val="00EC4A72"/>
    <w:rsid w:val="00EC4A89"/>
    <w:rsid w:val="00ED4E9C"/>
    <w:rsid w:val="00ED6E32"/>
    <w:rsid w:val="00EE5CE7"/>
    <w:rsid w:val="00F03BD7"/>
    <w:rsid w:val="00F13B4C"/>
    <w:rsid w:val="00F14427"/>
    <w:rsid w:val="00F14479"/>
    <w:rsid w:val="00F2416C"/>
    <w:rsid w:val="00F26AB7"/>
    <w:rsid w:val="00F45EEE"/>
    <w:rsid w:val="00F521DC"/>
    <w:rsid w:val="00F53AD6"/>
    <w:rsid w:val="00F631EF"/>
    <w:rsid w:val="00F643DB"/>
    <w:rsid w:val="00F73564"/>
    <w:rsid w:val="00F742D4"/>
    <w:rsid w:val="00F75267"/>
    <w:rsid w:val="00F94F03"/>
    <w:rsid w:val="00FA1E92"/>
    <w:rsid w:val="00FA5F94"/>
    <w:rsid w:val="00FA6BA0"/>
    <w:rsid w:val="00FC3F8E"/>
    <w:rsid w:val="00FD47E3"/>
    <w:rsid w:val="00FD58D0"/>
    <w:rsid w:val="00FE6B8F"/>
    <w:rsid w:val="00FE7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788B394B"/>
  <w15:docId w15:val="{17E3A359-FBAE-4555-BF87-76421474D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485C"/>
    <w:rPr>
      <w:sz w:val="24"/>
      <w:szCs w:val="24"/>
      <w:lang w:eastAsia="en-US"/>
    </w:rPr>
  </w:style>
  <w:style w:type="paragraph" w:styleId="Heading1">
    <w:name w:val="heading 1"/>
    <w:basedOn w:val="Normal"/>
    <w:next w:val="Normal"/>
    <w:qFormat/>
    <w:rsid w:val="002B485C"/>
    <w:pPr>
      <w:keepNext/>
      <w:widowControl w:val="0"/>
      <w:tabs>
        <w:tab w:val="left" w:pos="-1440"/>
      </w:tabs>
      <w:autoSpaceDE w:val="0"/>
      <w:autoSpaceDN w:val="0"/>
      <w:adjustRightInd w:val="0"/>
      <w:spacing w:line="360" w:lineRule="auto"/>
      <w:jc w:val="both"/>
      <w:outlineLvl w:val="0"/>
    </w:pPr>
  </w:style>
  <w:style w:type="paragraph" w:styleId="Heading4">
    <w:name w:val="heading 4"/>
    <w:basedOn w:val="Normal"/>
    <w:next w:val="Normal"/>
    <w:qFormat/>
    <w:rsid w:val="002B485C"/>
    <w:pPr>
      <w:keepNext/>
      <w:widowControl w:val="0"/>
      <w:tabs>
        <w:tab w:val="left" w:pos="-1440"/>
      </w:tabs>
      <w:autoSpaceDE w:val="0"/>
      <w:autoSpaceDN w:val="0"/>
      <w:adjustRightInd w:val="0"/>
      <w:spacing w:line="360" w:lineRule="auto"/>
      <w:jc w:val="both"/>
      <w:outlineLvl w:val="3"/>
    </w:pPr>
    <w:rPr>
      <w:b/>
      <w:bCs/>
    </w:rPr>
  </w:style>
  <w:style w:type="paragraph" w:styleId="Heading6">
    <w:name w:val="heading 6"/>
    <w:basedOn w:val="Normal"/>
    <w:next w:val="Normal"/>
    <w:qFormat/>
    <w:rsid w:val="002B485C"/>
    <w:pPr>
      <w:keepNext/>
      <w:widowControl w:val="0"/>
      <w:tabs>
        <w:tab w:val="left" w:pos="-1440"/>
      </w:tabs>
      <w:autoSpaceDE w:val="0"/>
      <w:autoSpaceDN w:val="0"/>
      <w:adjustRightInd w:val="0"/>
      <w:spacing w:line="360" w:lineRule="auto"/>
      <w:jc w:val="center"/>
      <w:outlineLvl w:val="5"/>
    </w:pPr>
    <w:rPr>
      <w:b/>
      <w:bCs/>
    </w:rPr>
  </w:style>
  <w:style w:type="paragraph" w:styleId="Heading7">
    <w:name w:val="heading 7"/>
    <w:basedOn w:val="Normal"/>
    <w:next w:val="Normal"/>
    <w:qFormat/>
    <w:rsid w:val="002B485C"/>
    <w:pPr>
      <w:keepNext/>
      <w:widowControl w:val="0"/>
      <w:tabs>
        <w:tab w:val="center" w:pos="2977"/>
      </w:tabs>
      <w:autoSpaceDE w:val="0"/>
      <w:autoSpaceDN w:val="0"/>
      <w:adjustRightInd w:val="0"/>
      <w:spacing w:line="360" w:lineRule="auto"/>
      <w:ind w:left="720"/>
      <w:jc w:val="both"/>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leText">
    <w:name w:val="Dble Text"/>
    <w:basedOn w:val="Normal"/>
    <w:rsid w:val="006A2D62"/>
    <w:pPr>
      <w:widowControl w:val="0"/>
      <w:tabs>
        <w:tab w:val="left" w:pos="1080"/>
        <w:tab w:val="left" w:pos="5040"/>
        <w:tab w:val="right" w:pos="8208"/>
      </w:tabs>
      <w:spacing w:after="300" w:line="480" w:lineRule="auto"/>
      <w:jc w:val="both"/>
    </w:pPr>
    <w:rPr>
      <w:color w:val="000000"/>
      <w:szCs w:val="20"/>
    </w:rPr>
  </w:style>
  <w:style w:type="paragraph" w:styleId="FootnoteText">
    <w:name w:val="footnote text"/>
    <w:basedOn w:val="Normal"/>
    <w:semiHidden/>
    <w:rsid w:val="006A2D62"/>
    <w:rPr>
      <w:rFonts w:ascii="Goudy Old Style" w:hAnsi="Goudy Old Style"/>
      <w:sz w:val="20"/>
      <w:szCs w:val="20"/>
      <w:lang w:eastAsia="en-GB"/>
    </w:rPr>
  </w:style>
  <w:style w:type="character" w:styleId="FootnoteReference">
    <w:name w:val="footnote reference"/>
    <w:semiHidden/>
    <w:rsid w:val="006A2D62"/>
    <w:rPr>
      <w:vertAlign w:val="superscript"/>
    </w:rPr>
  </w:style>
  <w:style w:type="table" w:styleId="TableGrid">
    <w:name w:val="Table Grid"/>
    <w:basedOn w:val="TableNormal"/>
    <w:rsid w:val="00E06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D2BD5"/>
    <w:pPr>
      <w:tabs>
        <w:tab w:val="center" w:pos="4320"/>
        <w:tab w:val="right" w:pos="8640"/>
      </w:tabs>
    </w:pPr>
  </w:style>
  <w:style w:type="paragraph" w:styleId="Footer">
    <w:name w:val="footer"/>
    <w:basedOn w:val="Normal"/>
    <w:rsid w:val="005D2BD5"/>
    <w:pPr>
      <w:tabs>
        <w:tab w:val="center" w:pos="4320"/>
        <w:tab w:val="right" w:pos="8640"/>
      </w:tabs>
    </w:pPr>
  </w:style>
  <w:style w:type="character" w:styleId="PageNumber">
    <w:name w:val="page number"/>
    <w:basedOn w:val="DefaultParagraphFont"/>
    <w:rsid w:val="005D2BD5"/>
  </w:style>
  <w:style w:type="paragraph" w:styleId="BalloonText">
    <w:name w:val="Balloon Text"/>
    <w:basedOn w:val="Normal"/>
    <w:semiHidden/>
    <w:rsid w:val="00FD47E3"/>
    <w:rPr>
      <w:rFonts w:ascii="Tahoma" w:hAnsi="Tahoma" w:cs="Tahoma"/>
      <w:sz w:val="16"/>
      <w:szCs w:val="16"/>
    </w:rPr>
  </w:style>
  <w:style w:type="paragraph" w:styleId="BodyTextIndent">
    <w:name w:val="Body Text Indent"/>
    <w:basedOn w:val="Normal"/>
    <w:rsid w:val="003D7E17"/>
    <w:pPr>
      <w:tabs>
        <w:tab w:val="num" w:pos="840"/>
        <w:tab w:val="left" w:pos="1800"/>
      </w:tabs>
      <w:spacing w:after="400" w:line="360" w:lineRule="auto"/>
      <w:ind w:left="840"/>
      <w:jc w:val="both"/>
    </w:pPr>
    <w:rPr>
      <w:rFonts w:ascii="Trebuchet MS" w:hAnsi="Trebuchet MS"/>
      <w:sz w:val="22"/>
    </w:rPr>
  </w:style>
  <w:style w:type="paragraph" w:styleId="BodyTextIndent2">
    <w:name w:val="Body Text Indent 2"/>
    <w:basedOn w:val="Normal"/>
    <w:rsid w:val="003D7E17"/>
    <w:pPr>
      <w:tabs>
        <w:tab w:val="left" w:pos="1800"/>
      </w:tabs>
      <w:spacing w:after="400" w:line="360" w:lineRule="auto"/>
      <w:ind w:left="840" w:hanging="840"/>
      <w:jc w:val="both"/>
    </w:pPr>
    <w:rPr>
      <w:rFonts w:ascii="Trebuchet MS" w:hAnsi="Trebuchet MS"/>
      <w:sz w:val="22"/>
    </w:rPr>
  </w:style>
  <w:style w:type="paragraph" w:customStyle="1" w:styleId="DocID">
    <w:name w:val="DocID"/>
    <w:basedOn w:val="Footer"/>
    <w:next w:val="Footer"/>
    <w:link w:val="DocIDChar"/>
    <w:rsid w:val="00BA6C69"/>
    <w:pPr>
      <w:tabs>
        <w:tab w:val="clear" w:pos="4320"/>
        <w:tab w:val="clear" w:pos="8640"/>
      </w:tabs>
      <w:suppressAutoHyphens/>
    </w:pPr>
    <w:rPr>
      <w:rFonts w:ascii="Trebuchet MS" w:hAnsi="Trebuchet MS"/>
      <w:sz w:val="16"/>
      <w:szCs w:val="20"/>
      <w:lang w:eastAsia="en-GB"/>
    </w:rPr>
  </w:style>
  <w:style w:type="character" w:customStyle="1" w:styleId="DocIDChar">
    <w:name w:val="DocID Char"/>
    <w:basedOn w:val="DefaultParagraphFont"/>
    <w:link w:val="DocID"/>
    <w:rsid w:val="00BA6C69"/>
    <w:rPr>
      <w:rFonts w:ascii="Trebuchet MS" w:hAnsi="Trebuchet MS"/>
      <w:sz w:val="16"/>
      <w:lang w:val="en-GB" w:eastAsia="en-GB"/>
    </w:rPr>
  </w:style>
  <w:style w:type="paragraph" w:styleId="ListParagraph">
    <w:name w:val="List Paragraph"/>
    <w:basedOn w:val="Normal"/>
    <w:uiPriority w:val="34"/>
    <w:qFormat/>
    <w:rsid w:val="002522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9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16E0D-A3B3-44D6-9352-270FFFED7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2993</Words>
  <Characters>17062</Characters>
  <Application>Microsoft Office Word</Application>
  <DocSecurity>0</DocSecurity>
  <PresentationFormat/>
  <Lines>142</Lines>
  <Paragraphs>40</Paragraphs>
  <ScaleCrop>false</ScaleCrop>
  <HeadingPairs>
    <vt:vector size="2" baseType="variant">
      <vt:variant>
        <vt:lpstr>Title</vt:lpstr>
      </vt:variant>
      <vt:variant>
        <vt:i4>1</vt:i4>
      </vt:variant>
    </vt:vector>
  </HeadingPairs>
  <TitlesOfParts>
    <vt:vector size="1" baseType="lpstr">
      <vt:lpstr>[&amp;Include DHDR-PLDJ]</vt:lpstr>
    </vt:vector>
  </TitlesOfParts>
  <Company>Browne Jacobson LLP</Company>
  <LinksUpToDate>false</LinksUpToDate>
  <CharactersWithSpaces>20015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[&amp;Include DHDR-PLDJ]</dc:title>
  <dc:creator>alisonw</dc:creator>
  <cp:lastModifiedBy>Smith, Chris (Judicial Office)</cp:lastModifiedBy>
  <cp:revision>2</cp:revision>
  <cp:lastPrinted>2021-10-06T10:22:00Z</cp:lastPrinted>
  <dcterms:created xsi:type="dcterms:W3CDTF">2021-10-07T10:00:00Z</dcterms:created>
  <dcterms:modified xsi:type="dcterms:W3CDTF">2021-10-07T10:00:00Z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LEGAL\51149084v1</vt:lpwstr>
  </property>
  <property fmtid="{D5CDD505-2E9C-101B-9397-08002B2CF9AE}" pid="3" name="CUS_DocIDChunk0">
    <vt:lpwstr>LEGAL\51149084v1</vt:lpwstr>
  </property>
  <property fmtid="{D5CDD505-2E9C-101B-9397-08002B2CF9AE}" pid="4" name="CUS_DocIDActiveBits">
    <vt:lpwstr>100352</vt:lpwstr>
  </property>
  <property fmtid="{D5CDD505-2E9C-101B-9397-08002B2CF9AE}" pid="5" name="CUS_DocIDLocation">
    <vt:lpwstr>EVERY_PAGE</vt:lpwstr>
  </property>
  <property fmtid="{D5CDD505-2E9C-101B-9397-08002B2CF9AE}" pid="6" name="CUS_DocIDReference">
    <vt:lpwstr>everyPage</vt:lpwstr>
  </property>
</Properties>
</file>