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4232" w14:textId="77777777" w:rsidR="003D67C6" w:rsidRPr="00E8689A" w:rsidRDefault="008D0552" w:rsidP="00E8689A">
      <w:pPr>
        <w:jc w:val="center"/>
        <w:rPr>
          <w:rFonts w:ascii="Calibri" w:eastAsia="Calibri" w:hAnsi="Calibri"/>
          <w:b/>
          <w:bCs/>
          <w:sz w:val="22"/>
          <w:szCs w:val="22"/>
          <w:lang w:eastAsia="en-US"/>
        </w:rPr>
      </w:pPr>
      <w:bookmarkStart w:id="0" w:name="_Hlk42683353"/>
      <w:r w:rsidRPr="00E8689A">
        <w:rPr>
          <w:rFonts w:ascii="Calibri" w:eastAsia="Calibri" w:hAnsi="Calibri"/>
          <w:b/>
          <w:bCs/>
          <w:sz w:val="22"/>
          <w:szCs w:val="22"/>
          <w:lang w:eastAsia="en-US"/>
        </w:rPr>
        <w:t>APPENDIX 5</w:t>
      </w:r>
    </w:p>
    <w:p w14:paraId="62074233" w14:textId="77777777" w:rsidR="003D67C6" w:rsidRDefault="008D0552" w:rsidP="00E8689A">
      <w:pPr>
        <w:jc w:val="center"/>
        <w:rPr>
          <w:rFonts w:ascii="Calibri" w:eastAsia="Calibri" w:hAnsi="Calibri"/>
          <w:b/>
          <w:bCs/>
          <w:sz w:val="22"/>
          <w:szCs w:val="22"/>
          <w:lang w:eastAsia="en-US"/>
        </w:rPr>
      </w:pPr>
      <w:r w:rsidRPr="00E8689A">
        <w:rPr>
          <w:rFonts w:ascii="Calibri" w:eastAsia="Calibri" w:hAnsi="Calibri"/>
          <w:b/>
          <w:bCs/>
          <w:sz w:val="22"/>
          <w:szCs w:val="22"/>
          <w:lang w:eastAsia="en-US"/>
        </w:rPr>
        <w:t>LESS COMPLEX CLAIMS</w:t>
      </w:r>
    </w:p>
    <w:p w14:paraId="62074234" w14:textId="77777777" w:rsidR="00E8689A" w:rsidRPr="00E8689A" w:rsidRDefault="00E8689A" w:rsidP="00E8689A">
      <w:pPr>
        <w:jc w:val="center"/>
        <w:rPr>
          <w:rFonts w:ascii="Calibri" w:eastAsia="Calibri" w:hAnsi="Calibri"/>
          <w:b/>
          <w:bCs/>
          <w:sz w:val="22"/>
          <w:szCs w:val="22"/>
          <w:lang w:eastAsia="en-US"/>
        </w:rPr>
      </w:pPr>
    </w:p>
    <w:p w14:paraId="62074235"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1.</w:t>
      </w:r>
      <w:r w:rsidR="00E8689A">
        <w:rPr>
          <w:rFonts w:eastAsia="Calibri"/>
          <w:b/>
          <w:bCs/>
          <w:sz w:val="24"/>
          <w:szCs w:val="24"/>
          <w:lang w:eastAsia="en-US"/>
        </w:rPr>
        <w:t xml:space="preserve"> </w:t>
      </w:r>
      <w:r w:rsidRPr="003D67C6">
        <w:rPr>
          <w:rFonts w:eastAsia="Calibri"/>
          <w:sz w:val="24"/>
          <w:szCs w:val="24"/>
          <w:lang w:eastAsia="en-US"/>
        </w:rPr>
        <w:t xml:space="preserve">This appendix contains provisions for </w:t>
      </w:r>
      <w:r w:rsidR="00724B17">
        <w:rPr>
          <w:rFonts w:eastAsia="Calibri"/>
          <w:sz w:val="24"/>
          <w:szCs w:val="24"/>
          <w:lang w:eastAsia="en-US"/>
        </w:rPr>
        <w:t xml:space="preserve">a simplified disclosure regime for </w:t>
      </w:r>
      <w:r w:rsidRPr="003D67C6">
        <w:rPr>
          <w:rFonts w:eastAsia="Calibri"/>
          <w:sz w:val="24"/>
          <w:szCs w:val="24"/>
          <w:lang w:eastAsia="en-US"/>
        </w:rPr>
        <w:t>Less Complex Claims. All the provisions of the main body of Practice Direction</w:t>
      </w:r>
      <w:r w:rsidR="00D526FA">
        <w:rPr>
          <w:rFonts w:eastAsia="Calibri"/>
          <w:sz w:val="24"/>
          <w:szCs w:val="24"/>
          <w:lang w:eastAsia="en-US"/>
        </w:rPr>
        <w:t xml:space="preserve"> </w:t>
      </w:r>
      <w:proofErr w:type="spellStart"/>
      <w:r w:rsidR="00F2019A">
        <w:rPr>
          <w:rFonts w:eastAsia="Calibri"/>
          <w:sz w:val="24"/>
          <w:szCs w:val="24"/>
          <w:lang w:eastAsia="en-US"/>
        </w:rPr>
        <w:t>57AD</w:t>
      </w:r>
      <w:proofErr w:type="spellEnd"/>
      <w:r w:rsidR="00F2019A">
        <w:rPr>
          <w:rFonts w:eastAsia="Calibri"/>
          <w:sz w:val="24"/>
          <w:szCs w:val="24"/>
          <w:lang w:eastAsia="en-US"/>
        </w:rPr>
        <w:t xml:space="preserve"> </w:t>
      </w:r>
      <w:r w:rsidR="00D526FA">
        <w:rPr>
          <w:rFonts w:eastAsia="Calibri"/>
          <w:sz w:val="24"/>
          <w:szCs w:val="24"/>
          <w:lang w:eastAsia="en-US"/>
        </w:rPr>
        <w:t xml:space="preserve">on disclosure </w:t>
      </w:r>
      <w:r w:rsidR="00755470">
        <w:rPr>
          <w:rFonts w:eastAsia="Calibri"/>
          <w:sz w:val="24"/>
          <w:szCs w:val="24"/>
          <w:lang w:eastAsia="en-US"/>
        </w:rPr>
        <w:t>in</w:t>
      </w:r>
      <w:r w:rsidR="00D526FA">
        <w:rPr>
          <w:rFonts w:eastAsia="Calibri"/>
          <w:sz w:val="24"/>
          <w:szCs w:val="24"/>
          <w:lang w:eastAsia="en-US"/>
        </w:rPr>
        <w:t xml:space="preserve"> the Business and Property Courts </w:t>
      </w:r>
      <w:r w:rsidRPr="003D67C6">
        <w:rPr>
          <w:rFonts w:eastAsia="Calibri"/>
          <w:sz w:val="24"/>
          <w:szCs w:val="24"/>
          <w:lang w:eastAsia="en-US"/>
        </w:rPr>
        <w:t>apply to Less Complex Claims, including the provisions relating to Initial Disclosure in accordance with paragraph 5</w:t>
      </w:r>
      <w:r w:rsidR="00D526FA">
        <w:rPr>
          <w:rFonts w:eastAsia="Calibri"/>
          <w:sz w:val="24"/>
          <w:szCs w:val="24"/>
          <w:lang w:eastAsia="en-US"/>
        </w:rPr>
        <w:t xml:space="preserve"> of Practice Direction</w:t>
      </w:r>
      <w:r w:rsidR="00107D92">
        <w:rPr>
          <w:rFonts w:eastAsia="Calibri"/>
          <w:sz w:val="24"/>
          <w:szCs w:val="24"/>
          <w:lang w:eastAsia="en-US"/>
        </w:rPr>
        <w:t xml:space="preserve"> </w:t>
      </w:r>
      <w:proofErr w:type="spellStart"/>
      <w:r w:rsidR="00F2019A">
        <w:rPr>
          <w:rFonts w:eastAsia="Calibri"/>
          <w:sz w:val="24"/>
          <w:szCs w:val="24"/>
          <w:lang w:eastAsia="en-US"/>
        </w:rPr>
        <w:t>57AD</w:t>
      </w:r>
      <w:proofErr w:type="spellEnd"/>
      <w:r w:rsidRPr="003D67C6">
        <w:rPr>
          <w:rFonts w:eastAsia="Calibri"/>
          <w:sz w:val="24"/>
          <w:szCs w:val="24"/>
          <w:lang w:eastAsia="en-US"/>
        </w:rPr>
        <w:t xml:space="preserve">, unless they are expressly varied by this </w:t>
      </w:r>
      <w:r w:rsidR="00B062F6">
        <w:rPr>
          <w:rFonts w:eastAsia="Calibri"/>
          <w:sz w:val="24"/>
          <w:szCs w:val="24"/>
          <w:lang w:eastAsia="en-US"/>
        </w:rPr>
        <w:t>a</w:t>
      </w:r>
      <w:r w:rsidRPr="003D67C6">
        <w:rPr>
          <w:rFonts w:eastAsia="Calibri"/>
          <w:sz w:val="24"/>
          <w:szCs w:val="24"/>
          <w:lang w:eastAsia="en-US"/>
        </w:rPr>
        <w:t xml:space="preserve">ppendix or </w:t>
      </w:r>
      <w:r w:rsidR="00730066">
        <w:rPr>
          <w:rFonts w:eastAsia="Calibri"/>
          <w:sz w:val="24"/>
          <w:szCs w:val="24"/>
          <w:lang w:eastAsia="en-US"/>
        </w:rPr>
        <w:t xml:space="preserve">are </w:t>
      </w:r>
      <w:r w:rsidRPr="003D67C6">
        <w:rPr>
          <w:rFonts w:eastAsia="Calibri"/>
          <w:sz w:val="24"/>
          <w:szCs w:val="24"/>
          <w:lang w:eastAsia="en-US"/>
        </w:rPr>
        <w:t>require</w:t>
      </w:r>
      <w:r w:rsidR="00730066">
        <w:rPr>
          <w:rFonts w:eastAsia="Calibri"/>
          <w:sz w:val="24"/>
          <w:szCs w:val="24"/>
          <w:lang w:eastAsia="en-US"/>
        </w:rPr>
        <w:t>d</w:t>
      </w:r>
      <w:r w:rsidRPr="003D67C6">
        <w:rPr>
          <w:rFonts w:eastAsia="Calibri"/>
          <w:sz w:val="24"/>
          <w:szCs w:val="24"/>
          <w:lang w:eastAsia="en-US"/>
        </w:rPr>
        <w:t xml:space="preserve"> to</w:t>
      </w:r>
      <w:r w:rsidR="00730066">
        <w:rPr>
          <w:rFonts w:eastAsia="Calibri"/>
          <w:sz w:val="24"/>
          <w:szCs w:val="24"/>
          <w:lang w:eastAsia="en-US"/>
        </w:rPr>
        <w:t xml:space="preserve"> be</w:t>
      </w:r>
      <w:r w:rsidRPr="003D67C6">
        <w:rPr>
          <w:rFonts w:eastAsia="Calibri"/>
          <w:sz w:val="24"/>
          <w:szCs w:val="24"/>
          <w:lang w:eastAsia="en-US"/>
        </w:rPr>
        <w:t xml:space="preserve"> applied with appropriate changes </w:t>
      </w:r>
      <w:proofErr w:type="gramStart"/>
      <w:r w:rsidRPr="003D67C6">
        <w:rPr>
          <w:rFonts w:eastAsia="Calibri"/>
          <w:sz w:val="24"/>
          <w:szCs w:val="24"/>
          <w:lang w:eastAsia="en-US"/>
        </w:rPr>
        <w:t>as a consequence of</w:t>
      </w:r>
      <w:proofErr w:type="gramEnd"/>
      <w:r w:rsidRPr="003D67C6">
        <w:rPr>
          <w:rFonts w:eastAsia="Calibri"/>
          <w:sz w:val="24"/>
          <w:szCs w:val="24"/>
          <w:lang w:eastAsia="en-US"/>
        </w:rPr>
        <w:t xml:space="preserve"> its provisions.</w:t>
      </w:r>
      <w:r w:rsidR="00EB7D9B">
        <w:t xml:space="preserve">  </w:t>
      </w:r>
    </w:p>
    <w:p w14:paraId="62074236" w14:textId="77777777" w:rsid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2.</w:t>
      </w:r>
      <w:r w:rsidRPr="003D67C6">
        <w:rPr>
          <w:rFonts w:eastAsia="Calibri"/>
          <w:sz w:val="24"/>
          <w:szCs w:val="24"/>
          <w:lang w:eastAsia="en-US"/>
        </w:rPr>
        <w:t xml:space="preserve"> Parties to a dispute should always consider whether a dispute or claim is suitable for the Shorter Trials Sc</w:t>
      </w:r>
      <w:r w:rsidRPr="003D67C6">
        <w:rPr>
          <w:rFonts w:eastAsia="Calibri"/>
          <w:sz w:val="24"/>
          <w:szCs w:val="24"/>
          <w:lang w:eastAsia="en-US"/>
        </w:rPr>
        <w:t xml:space="preserve">heme </w:t>
      </w:r>
      <w:r w:rsidR="005F6B5C">
        <w:rPr>
          <w:rFonts w:eastAsia="Calibri"/>
          <w:sz w:val="24"/>
          <w:szCs w:val="24"/>
          <w:lang w:eastAsia="en-US"/>
        </w:rPr>
        <w:t xml:space="preserve">rather than </w:t>
      </w:r>
      <w:r w:rsidRPr="003D67C6">
        <w:rPr>
          <w:rFonts w:eastAsia="Calibri"/>
          <w:sz w:val="24"/>
          <w:szCs w:val="24"/>
          <w:lang w:eastAsia="en-US"/>
        </w:rPr>
        <w:t>being treated as a Less Complex Claim.</w:t>
      </w:r>
    </w:p>
    <w:p w14:paraId="62074237" w14:textId="77777777" w:rsidR="00724B17" w:rsidRPr="00724B17" w:rsidRDefault="008D0552" w:rsidP="003D67C6">
      <w:pPr>
        <w:spacing w:after="160" w:line="259" w:lineRule="auto"/>
        <w:rPr>
          <w:rFonts w:eastAsia="Calibri"/>
          <w:b/>
          <w:bCs/>
          <w:sz w:val="24"/>
          <w:szCs w:val="24"/>
          <w:u w:val="single"/>
          <w:lang w:eastAsia="en-US"/>
        </w:rPr>
      </w:pPr>
      <w:r w:rsidRPr="00724B17">
        <w:rPr>
          <w:rFonts w:eastAsia="Calibri"/>
          <w:b/>
          <w:bCs/>
          <w:sz w:val="24"/>
          <w:szCs w:val="24"/>
          <w:u w:val="single"/>
          <w:lang w:eastAsia="en-US"/>
        </w:rPr>
        <w:t>Designating claims as Less Complex Claims</w:t>
      </w:r>
    </w:p>
    <w:p w14:paraId="62074238"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3.</w:t>
      </w:r>
      <w:r w:rsidRPr="003D67C6">
        <w:rPr>
          <w:rFonts w:eastAsia="Calibri"/>
          <w:sz w:val="24"/>
          <w:szCs w:val="24"/>
          <w:lang w:eastAsia="en-US"/>
        </w:rPr>
        <w:t xml:space="preserve"> A Less Complex Claim is a claim which by virtue of its nature, value, </w:t>
      </w:r>
      <w:proofErr w:type="gramStart"/>
      <w:r w:rsidRPr="003D67C6">
        <w:rPr>
          <w:rFonts w:eastAsia="Calibri"/>
          <w:sz w:val="24"/>
          <w:szCs w:val="24"/>
          <w:lang w:eastAsia="en-US"/>
        </w:rPr>
        <w:t>complexity</w:t>
      </w:r>
      <w:proofErr w:type="gramEnd"/>
      <w:r w:rsidRPr="003D67C6">
        <w:rPr>
          <w:rFonts w:eastAsia="Calibri"/>
          <w:sz w:val="24"/>
          <w:szCs w:val="24"/>
          <w:lang w:eastAsia="en-US"/>
        </w:rPr>
        <w:t xml:space="preserve"> and the likely volume of Extended Disclosure may not benefit from the </w:t>
      </w:r>
      <w:r w:rsidR="00724B17">
        <w:rPr>
          <w:rFonts w:eastAsia="Calibri"/>
          <w:sz w:val="24"/>
          <w:szCs w:val="24"/>
          <w:lang w:eastAsia="en-US"/>
        </w:rPr>
        <w:t xml:space="preserve">full procedure set out in the main body of </w:t>
      </w:r>
      <w:r w:rsidR="007D182C">
        <w:rPr>
          <w:rFonts w:eastAsia="Calibri"/>
          <w:sz w:val="24"/>
          <w:szCs w:val="24"/>
          <w:lang w:eastAsia="en-US"/>
        </w:rPr>
        <w:t>Practice Direction</w:t>
      </w:r>
      <w:r w:rsidR="00F2019A">
        <w:rPr>
          <w:rFonts w:eastAsia="Calibri"/>
          <w:sz w:val="24"/>
          <w:szCs w:val="24"/>
          <w:lang w:eastAsia="en-US"/>
        </w:rPr>
        <w:t xml:space="preserve"> </w:t>
      </w:r>
      <w:proofErr w:type="spellStart"/>
      <w:r w:rsidR="00F2019A">
        <w:rPr>
          <w:rFonts w:eastAsia="Calibri"/>
          <w:sz w:val="24"/>
          <w:szCs w:val="24"/>
          <w:lang w:eastAsia="en-US"/>
        </w:rPr>
        <w:t>57AD</w:t>
      </w:r>
      <w:proofErr w:type="spellEnd"/>
      <w:r w:rsidRPr="003D67C6">
        <w:rPr>
          <w:rFonts w:eastAsia="Calibri"/>
          <w:sz w:val="24"/>
          <w:szCs w:val="24"/>
          <w:lang w:eastAsia="en-US"/>
        </w:rPr>
        <w:t>. The value of a claim means a reasonable estimate</w:t>
      </w:r>
      <w:r w:rsidR="00807A6C">
        <w:rPr>
          <w:rFonts w:eastAsia="Calibri"/>
          <w:sz w:val="24"/>
          <w:szCs w:val="24"/>
          <w:lang w:eastAsia="en-US"/>
        </w:rPr>
        <w:t>,</w:t>
      </w:r>
      <w:r w:rsidRPr="003D67C6">
        <w:rPr>
          <w:rFonts w:eastAsia="Calibri"/>
          <w:sz w:val="24"/>
          <w:szCs w:val="24"/>
          <w:lang w:eastAsia="en-US"/>
        </w:rPr>
        <w:t xml:space="preserve"> made in good faith</w:t>
      </w:r>
      <w:r w:rsidR="00807A6C">
        <w:rPr>
          <w:rFonts w:eastAsia="Calibri"/>
          <w:sz w:val="24"/>
          <w:szCs w:val="24"/>
          <w:lang w:eastAsia="en-US"/>
        </w:rPr>
        <w:t>,</w:t>
      </w:r>
      <w:r w:rsidRPr="003D67C6">
        <w:rPr>
          <w:rFonts w:eastAsia="Calibri"/>
          <w:sz w:val="24"/>
          <w:szCs w:val="24"/>
          <w:lang w:eastAsia="en-US"/>
        </w:rPr>
        <w:t xml:space="preserve"> of the total financial value at risk in the claim taken with the value</w:t>
      </w:r>
      <w:r w:rsidR="00807A6C">
        <w:rPr>
          <w:rFonts w:eastAsia="Calibri"/>
          <w:sz w:val="24"/>
          <w:szCs w:val="24"/>
          <w:lang w:eastAsia="en-US"/>
        </w:rPr>
        <w:t>,</w:t>
      </w:r>
      <w:r w:rsidRPr="003D67C6">
        <w:rPr>
          <w:rFonts w:eastAsia="Calibri"/>
          <w:sz w:val="24"/>
          <w:szCs w:val="24"/>
          <w:lang w:eastAsia="en-US"/>
        </w:rPr>
        <w:t xml:space="preserve"> so far as ascertainable</w:t>
      </w:r>
      <w:r w:rsidR="00807A6C">
        <w:rPr>
          <w:rFonts w:eastAsia="Calibri"/>
          <w:sz w:val="24"/>
          <w:szCs w:val="24"/>
          <w:lang w:eastAsia="en-US"/>
        </w:rPr>
        <w:t>,</w:t>
      </w:r>
      <w:r w:rsidRPr="003D67C6">
        <w:rPr>
          <w:rFonts w:eastAsia="Calibri"/>
          <w:sz w:val="24"/>
          <w:szCs w:val="24"/>
          <w:lang w:eastAsia="en-US"/>
        </w:rPr>
        <w:t xml:space="preserve"> of any non-financial relief </w:t>
      </w:r>
      <w:r w:rsidRPr="006603C7">
        <w:rPr>
          <w:rFonts w:eastAsia="Calibri"/>
          <w:color w:val="000000"/>
          <w:sz w:val="24"/>
          <w:szCs w:val="24"/>
          <w:lang w:eastAsia="en-US"/>
        </w:rPr>
        <w:t>sought</w:t>
      </w:r>
      <w:r w:rsidRPr="003D67C6">
        <w:rPr>
          <w:rFonts w:eastAsia="Calibri"/>
          <w:sz w:val="24"/>
          <w:szCs w:val="24"/>
          <w:lang w:eastAsia="en-US"/>
        </w:rPr>
        <w:t>.</w:t>
      </w:r>
    </w:p>
    <w:p w14:paraId="62074239"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4.</w:t>
      </w:r>
      <w:r w:rsidRPr="003D67C6">
        <w:rPr>
          <w:rFonts w:eastAsia="Calibri"/>
          <w:sz w:val="24"/>
          <w:szCs w:val="24"/>
          <w:lang w:eastAsia="en-US"/>
        </w:rPr>
        <w:t xml:space="preserve"> If the value of a claim is less than £</w:t>
      </w:r>
      <w:r w:rsidR="0032793D">
        <w:rPr>
          <w:rFonts w:eastAsia="Calibri"/>
          <w:sz w:val="24"/>
          <w:szCs w:val="24"/>
          <w:lang w:eastAsia="en-US"/>
        </w:rPr>
        <w:t>1,000,00</w:t>
      </w:r>
      <w:r w:rsidRPr="003D67C6">
        <w:rPr>
          <w:rFonts w:eastAsia="Calibri"/>
          <w:sz w:val="24"/>
          <w:szCs w:val="24"/>
          <w:lang w:eastAsia="en-US"/>
        </w:rPr>
        <w:t xml:space="preserve">0 </w:t>
      </w:r>
      <w:r w:rsidR="00B062F6">
        <w:rPr>
          <w:rFonts w:eastAsia="Calibri"/>
          <w:sz w:val="24"/>
          <w:szCs w:val="24"/>
          <w:lang w:eastAsia="en-US"/>
        </w:rPr>
        <w:t xml:space="preserve">then </w:t>
      </w:r>
      <w:r w:rsidRPr="003D67C6">
        <w:rPr>
          <w:rFonts w:eastAsia="Calibri"/>
          <w:sz w:val="24"/>
          <w:szCs w:val="24"/>
          <w:lang w:eastAsia="en-US"/>
        </w:rPr>
        <w:t xml:space="preserve">unless the other factors specified in paragraph </w:t>
      </w:r>
      <w:r>
        <w:rPr>
          <w:rFonts w:eastAsia="Calibri"/>
          <w:sz w:val="24"/>
          <w:szCs w:val="24"/>
          <w:lang w:eastAsia="en-US"/>
        </w:rPr>
        <w:t>3</w:t>
      </w:r>
      <w:r w:rsidRPr="003D67C6">
        <w:rPr>
          <w:rFonts w:eastAsia="Calibri"/>
          <w:sz w:val="24"/>
          <w:szCs w:val="24"/>
          <w:lang w:eastAsia="en-US"/>
        </w:rPr>
        <w:t xml:space="preserve"> above indicate t</w:t>
      </w:r>
      <w:r w:rsidRPr="003D67C6">
        <w:rPr>
          <w:rFonts w:eastAsia="Calibri"/>
          <w:sz w:val="24"/>
          <w:szCs w:val="24"/>
          <w:lang w:eastAsia="en-US"/>
        </w:rPr>
        <w:t>o the contrary, the claim should be treated as a Less Complex Claim.</w:t>
      </w:r>
      <w:r w:rsidR="00D526FA">
        <w:rPr>
          <w:rFonts w:eastAsia="Calibri"/>
          <w:sz w:val="24"/>
          <w:szCs w:val="24"/>
          <w:lang w:eastAsia="en-US"/>
        </w:rPr>
        <w:t xml:space="preserve"> The fact that the value of a claim may exceed £1,000,000 does not</w:t>
      </w:r>
      <w:r w:rsidR="00680F50">
        <w:rPr>
          <w:rFonts w:eastAsia="Calibri"/>
          <w:sz w:val="24"/>
          <w:szCs w:val="24"/>
          <w:lang w:eastAsia="en-US"/>
        </w:rPr>
        <w:t xml:space="preserve">, of itself, </w:t>
      </w:r>
      <w:r w:rsidR="00107D92">
        <w:rPr>
          <w:rFonts w:eastAsia="Calibri"/>
          <w:sz w:val="24"/>
          <w:szCs w:val="24"/>
          <w:lang w:eastAsia="en-US"/>
        </w:rPr>
        <w:t xml:space="preserve">mean </w:t>
      </w:r>
      <w:r w:rsidR="00680F50">
        <w:rPr>
          <w:rFonts w:eastAsia="Calibri"/>
          <w:sz w:val="24"/>
          <w:szCs w:val="24"/>
          <w:lang w:eastAsia="en-US"/>
        </w:rPr>
        <w:t xml:space="preserve">that the claim </w:t>
      </w:r>
      <w:r w:rsidR="00107D92">
        <w:rPr>
          <w:rFonts w:eastAsia="Calibri"/>
          <w:sz w:val="24"/>
          <w:szCs w:val="24"/>
          <w:lang w:eastAsia="en-US"/>
        </w:rPr>
        <w:t>should not</w:t>
      </w:r>
      <w:r w:rsidR="00680F50">
        <w:rPr>
          <w:rFonts w:eastAsia="Calibri"/>
          <w:sz w:val="24"/>
          <w:szCs w:val="24"/>
          <w:lang w:eastAsia="en-US"/>
        </w:rPr>
        <w:t xml:space="preserve"> be treated as a Less Complex Claim if the other factors specified in paragraph 3 above indicate that it should be.</w:t>
      </w:r>
    </w:p>
    <w:p w14:paraId="6207423A"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5.</w:t>
      </w:r>
      <w:r w:rsidRPr="003D67C6">
        <w:rPr>
          <w:rFonts w:eastAsia="Calibri"/>
          <w:sz w:val="24"/>
          <w:szCs w:val="24"/>
          <w:lang w:eastAsia="en-US"/>
        </w:rPr>
        <w:t xml:space="preserve"> A claim may be treated as a Less Complex Claim for the purposes of Extended Disclosure either by an agreement made between all the parties to the claim or by order of the court.</w:t>
      </w:r>
      <w:r w:rsidR="005F6B5C">
        <w:rPr>
          <w:rFonts w:eastAsia="Calibri"/>
          <w:sz w:val="24"/>
          <w:szCs w:val="24"/>
          <w:lang w:eastAsia="en-US"/>
        </w:rPr>
        <w:t xml:space="preserve">  </w:t>
      </w:r>
    </w:p>
    <w:p w14:paraId="6207423B"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6.</w:t>
      </w:r>
      <w:r w:rsidRPr="003D67C6">
        <w:rPr>
          <w:rFonts w:eastAsia="Calibri"/>
          <w:sz w:val="24"/>
          <w:szCs w:val="24"/>
          <w:lang w:eastAsia="en-US"/>
        </w:rPr>
        <w:t xml:space="preserve"> An agreement to treat </w:t>
      </w:r>
      <w:r w:rsidR="00807A6C">
        <w:rPr>
          <w:rFonts w:eastAsia="Calibri"/>
          <w:sz w:val="24"/>
          <w:szCs w:val="24"/>
          <w:lang w:eastAsia="en-US"/>
        </w:rPr>
        <w:t>a</w:t>
      </w:r>
      <w:r w:rsidRPr="003D67C6">
        <w:rPr>
          <w:rFonts w:eastAsia="Calibri"/>
          <w:sz w:val="24"/>
          <w:szCs w:val="24"/>
          <w:lang w:eastAsia="en-US"/>
        </w:rPr>
        <w:t xml:space="preserve"> claim as </w:t>
      </w:r>
      <w:r w:rsidRPr="003D67C6">
        <w:rPr>
          <w:rFonts w:eastAsia="Calibri"/>
          <w:sz w:val="24"/>
          <w:szCs w:val="24"/>
          <w:lang w:eastAsia="en-US"/>
        </w:rPr>
        <w:t>a Less Complex Claim may be made between parties before or after a claim is issued</w:t>
      </w:r>
      <w:r w:rsidR="004F34E9">
        <w:rPr>
          <w:rFonts w:eastAsia="Calibri"/>
          <w:sz w:val="24"/>
          <w:szCs w:val="24"/>
          <w:lang w:eastAsia="en-US"/>
        </w:rPr>
        <w:t xml:space="preserve"> and these provisions may</w:t>
      </w:r>
      <w:r w:rsidR="00F815B3">
        <w:rPr>
          <w:rFonts w:eastAsia="Calibri"/>
          <w:sz w:val="24"/>
          <w:szCs w:val="24"/>
          <w:lang w:eastAsia="en-US"/>
        </w:rPr>
        <w:t xml:space="preserve"> be used in respect of existing as well as new proceedings.  </w:t>
      </w:r>
      <w:r w:rsidRPr="003D67C6">
        <w:rPr>
          <w:rFonts w:eastAsia="Calibri"/>
          <w:sz w:val="24"/>
          <w:szCs w:val="24"/>
          <w:lang w:eastAsia="en-US"/>
        </w:rPr>
        <w:t xml:space="preserve">If an agreement is reached before a claim is issued it takes effect upon service of </w:t>
      </w:r>
      <w:r w:rsidRPr="003D67C6">
        <w:rPr>
          <w:rFonts w:eastAsia="Calibri"/>
          <w:sz w:val="24"/>
          <w:szCs w:val="24"/>
          <w:lang w:eastAsia="en-US"/>
        </w:rPr>
        <w:t>the claim on the parties to the agreement. An agreement between the parties may not vary the provisions for Extended Disclosure contained in this appendix</w:t>
      </w:r>
      <w:r w:rsidR="00673CD6">
        <w:rPr>
          <w:rFonts w:eastAsia="Calibri"/>
          <w:sz w:val="24"/>
          <w:szCs w:val="24"/>
          <w:lang w:eastAsia="en-US"/>
        </w:rPr>
        <w:t>, unless approved by court</w:t>
      </w:r>
      <w:r w:rsidR="00807A6C">
        <w:rPr>
          <w:rFonts w:eastAsia="Calibri"/>
          <w:sz w:val="24"/>
          <w:szCs w:val="24"/>
          <w:lang w:eastAsia="en-US"/>
        </w:rPr>
        <w:t xml:space="preserve"> order</w:t>
      </w:r>
      <w:r w:rsidRPr="003D67C6">
        <w:rPr>
          <w:rFonts w:eastAsia="Calibri"/>
          <w:sz w:val="24"/>
          <w:szCs w:val="24"/>
          <w:lang w:eastAsia="en-US"/>
        </w:rPr>
        <w:t>.</w:t>
      </w:r>
    </w:p>
    <w:p w14:paraId="6207423C"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7.</w:t>
      </w:r>
      <w:r w:rsidRPr="003D67C6">
        <w:rPr>
          <w:rFonts w:eastAsia="Calibri"/>
          <w:sz w:val="24"/>
          <w:szCs w:val="24"/>
          <w:lang w:eastAsia="en-US"/>
        </w:rPr>
        <w:t xml:space="preserve"> If there is no agreement between the parties before the claim is </w:t>
      </w:r>
      <w:r w:rsidRPr="003D67C6">
        <w:rPr>
          <w:rFonts w:eastAsia="Calibri"/>
          <w:sz w:val="24"/>
          <w:szCs w:val="24"/>
          <w:lang w:eastAsia="en-US"/>
        </w:rPr>
        <w:t xml:space="preserve">issued, the claimant may by letter or in its particulars of claim notify the defendant that it wishes the claim to be treated as a Less Complex Claim. If no such notification is given by the claimant, a defendant may by letter or in its defence notify the </w:t>
      </w:r>
      <w:r w:rsidRPr="003D67C6">
        <w:rPr>
          <w:rFonts w:eastAsia="Calibri"/>
          <w:sz w:val="24"/>
          <w:szCs w:val="24"/>
          <w:lang w:eastAsia="en-US"/>
        </w:rPr>
        <w:t>claimant that it wishes to treat the claim as a Less Complex Claim.</w:t>
      </w:r>
    </w:p>
    <w:p w14:paraId="6207423D"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8.</w:t>
      </w:r>
      <w:r w:rsidRPr="003D67C6">
        <w:rPr>
          <w:rFonts w:eastAsia="Calibri"/>
          <w:sz w:val="24"/>
          <w:szCs w:val="24"/>
          <w:lang w:eastAsia="en-US"/>
        </w:rPr>
        <w:t xml:space="preserve"> A request to treat a claim as a Less Complex Claim must include brief reasons for believing that the claim meets the criteria specified in paragraph </w:t>
      </w:r>
      <w:r>
        <w:rPr>
          <w:rFonts w:eastAsia="Calibri"/>
          <w:sz w:val="24"/>
          <w:szCs w:val="24"/>
          <w:lang w:eastAsia="en-US"/>
        </w:rPr>
        <w:t>3</w:t>
      </w:r>
      <w:r w:rsidRPr="003D67C6">
        <w:rPr>
          <w:rFonts w:eastAsia="Calibri"/>
          <w:sz w:val="24"/>
          <w:szCs w:val="24"/>
          <w:lang w:eastAsia="en-US"/>
        </w:rPr>
        <w:t xml:space="preserve"> of this appendix.</w:t>
      </w:r>
    </w:p>
    <w:p w14:paraId="6207423E" w14:textId="77777777" w:rsid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9.</w:t>
      </w:r>
      <w:r w:rsidRPr="003D67C6">
        <w:rPr>
          <w:rFonts w:eastAsia="Calibri"/>
          <w:sz w:val="24"/>
          <w:szCs w:val="24"/>
          <w:lang w:eastAsia="en-US"/>
        </w:rPr>
        <w:t xml:space="preserve"> If the partie</w:t>
      </w:r>
      <w:r w:rsidRPr="003D67C6">
        <w:rPr>
          <w:rFonts w:eastAsia="Calibri"/>
          <w:sz w:val="24"/>
          <w:szCs w:val="24"/>
          <w:lang w:eastAsia="en-US"/>
        </w:rPr>
        <w:t xml:space="preserve">s acting reasonably and in good faith do not agree to the claim being treated as a Less Complex Claim, the provisions of this </w:t>
      </w:r>
      <w:r w:rsidR="00807A6C">
        <w:rPr>
          <w:rFonts w:eastAsia="Calibri"/>
          <w:sz w:val="24"/>
          <w:szCs w:val="24"/>
          <w:lang w:eastAsia="en-US"/>
        </w:rPr>
        <w:t>a</w:t>
      </w:r>
      <w:r w:rsidRPr="003D67C6">
        <w:rPr>
          <w:rFonts w:eastAsia="Calibri"/>
          <w:sz w:val="24"/>
          <w:szCs w:val="24"/>
          <w:lang w:eastAsia="en-US"/>
        </w:rPr>
        <w:t xml:space="preserve">ppendix shall not apply unless the court makes an order to the contrary. The court may make such an order of its own volition or </w:t>
      </w:r>
      <w:r w:rsidRPr="003D67C6">
        <w:rPr>
          <w:rFonts w:eastAsia="Calibri"/>
          <w:sz w:val="24"/>
          <w:szCs w:val="24"/>
          <w:lang w:eastAsia="en-US"/>
        </w:rPr>
        <w:t xml:space="preserve">upon determining an application made by application notice. The application notice must contain or be accompanied by a fair summary of the parties’ competing contentions in relation to the application of the criteria specified in </w:t>
      </w:r>
      <w:r w:rsidRPr="003D67C6">
        <w:rPr>
          <w:rFonts w:eastAsia="Calibri"/>
          <w:sz w:val="24"/>
          <w:szCs w:val="24"/>
          <w:lang w:eastAsia="en-US"/>
        </w:rPr>
        <w:lastRenderedPageBreak/>
        <w:t xml:space="preserve">paragraph </w:t>
      </w:r>
      <w:r w:rsidR="00807A6C">
        <w:rPr>
          <w:rFonts w:eastAsia="Calibri"/>
          <w:sz w:val="24"/>
          <w:szCs w:val="24"/>
          <w:lang w:eastAsia="en-US"/>
        </w:rPr>
        <w:t>3</w:t>
      </w:r>
      <w:r w:rsidRPr="003D67C6">
        <w:rPr>
          <w:rFonts w:eastAsia="Calibri"/>
          <w:sz w:val="24"/>
          <w:szCs w:val="24"/>
          <w:lang w:eastAsia="en-US"/>
        </w:rPr>
        <w:t xml:space="preserve"> of this append</w:t>
      </w:r>
      <w:r w:rsidRPr="003D67C6">
        <w:rPr>
          <w:rFonts w:eastAsia="Calibri"/>
          <w:sz w:val="24"/>
          <w:szCs w:val="24"/>
          <w:lang w:eastAsia="en-US"/>
        </w:rPr>
        <w:t xml:space="preserve">ix and copies of any relevant correspondence. </w:t>
      </w:r>
      <w:r w:rsidR="00C02431">
        <w:rPr>
          <w:rFonts w:eastAsia="Calibri"/>
          <w:sz w:val="24"/>
          <w:szCs w:val="24"/>
          <w:lang w:eastAsia="en-US"/>
        </w:rPr>
        <w:t>Where possible, the</w:t>
      </w:r>
      <w:r w:rsidRPr="003D67C6">
        <w:rPr>
          <w:rFonts w:eastAsia="Calibri"/>
          <w:sz w:val="24"/>
          <w:szCs w:val="24"/>
          <w:lang w:eastAsia="en-US"/>
        </w:rPr>
        <w:t xml:space="preserve"> court will </w:t>
      </w:r>
      <w:proofErr w:type="gramStart"/>
      <w:r w:rsidRPr="003D67C6">
        <w:rPr>
          <w:rFonts w:eastAsia="Calibri"/>
          <w:sz w:val="24"/>
          <w:szCs w:val="24"/>
          <w:lang w:eastAsia="en-US"/>
        </w:rPr>
        <w:t>make a determination</w:t>
      </w:r>
      <w:proofErr w:type="gramEnd"/>
      <w:r w:rsidRPr="003D67C6">
        <w:rPr>
          <w:rFonts w:eastAsia="Calibri"/>
          <w:sz w:val="24"/>
          <w:szCs w:val="24"/>
          <w:lang w:eastAsia="en-US"/>
        </w:rPr>
        <w:t xml:space="preserve"> in writing without a hearing. </w:t>
      </w:r>
    </w:p>
    <w:p w14:paraId="6207423F" w14:textId="77777777" w:rsidR="00C02431" w:rsidRPr="00C02431" w:rsidRDefault="008D0552" w:rsidP="003D67C6">
      <w:pPr>
        <w:spacing w:after="160" w:line="259" w:lineRule="auto"/>
        <w:rPr>
          <w:rFonts w:eastAsia="Calibri"/>
          <w:b/>
          <w:bCs/>
          <w:sz w:val="24"/>
          <w:szCs w:val="24"/>
          <w:u w:val="single"/>
          <w:lang w:eastAsia="en-US"/>
        </w:rPr>
      </w:pPr>
      <w:r>
        <w:rPr>
          <w:rFonts w:eastAsia="Calibri"/>
          <w:b/>
          <w:bCs/>
          <w:sz w:val="24"/>
          <w:szCs w:val="24"/>
          <w:u w:val="single"/>
          <w:lang w:eastAsia="en-US"/>
        </w:rPr>
        <w:t>Simplified procedure for Less Complex Claims</w:t>
      </w:r>
    </w:p>
    <w:p w14:paraId="62074240"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10.</w:t>
      </w:r>
      <w:r w:rsidRPr="003D67C6">
        <w:rPr>
          <w:rFonts w:eastAsia="Calibri"/>
          <w:sz w:val="24"/>
          <w:szCs w:val="24"/>
          <w:lang w:eastAsia="en-US"/>
        </w:rPr>
        <w:t xml:space="preserve"> Where the parties have agreed that this </w:t>
      </w:r>
      <w:r w:rsidR="00C02431">
        <w:rPr>
          <w:rFonts w:eastAsia="Calibri"/>
          <w:sz w:val="24"/>
          <w:szCs w:val="24"/>
          <w:lang w:eastAsia="en-US"/>
        </w:rPr>
        <w:t>a</w:t>
      </w:r>
      <w:r w:rsidRPr="003D67C6">
        <w:rPr>
          <w:rFonts w:eastAsia="Calibri"/>
          <w:sz w:val="24"/>
          <w:szCs w:val="24"/>
          <w:lang w:eastAsia="en-US"/>
        </w:rPr>
        <w:t xml:space="preserve">ppendix shall apply to the claim, or </w:t>
      </w:r>
      <w:r w:rsidRPr="003D67C6">
        <w:rPr>
          <w:rFonts w:eastAsia="Calibri"/>
          <w:sz w:val="24"/>
          <w:szCs w:val="24"/>
          <w:lang w:eastAsia="en-US"/>
        </w:rPr>
        <w:t xml:space="preserve">the court has so ordered, the provisions in the main body of </w:t>
      </w:r>
      <w:r w:rsidR="00F2019A">
        <w:rPr>
          <w:rFonts w:eastAsia="Calibri"/>
          <w:sz w:val="24"/>
          <w:szCs w:val="24"/>
          <w:lang w:eastAsia="en-US"/>
        </w:rPr>
        <w:t xml:space="preserve">Practice Direction </w:t>
      </w:r>
      <w:proofErr w:type="spellStart"/>
      <w:r w:rsidR="00F2019A">
        <w:rPr>
          <w:rFonts w:eastAsia="Calibri"/>
          <w:sz w:val="24"/>
          <w:szCs w:val="24"/>
          <w:lang w:eastAsia="en-US"/>
        </w:rPr>
        <w:t>57AD</w:t>
      </w:r>
      <w:proofErr w:type="spellEnd"/>
      <w:r w:rsidR="00F2019A">
        <w:rPr>
          <w:rFonts w:eastAsia="Calibri"/>
          <w:sz w:val="24"/>
          <w:szCs w:val="24"/>
          <w:lang w:eastAsia="en-US"/>
        </w:rPr>
        <w:t xml:space="preserve"> </w:t>
      </w:r>
      <w:r w:rsidRPr="003D67C6">
        <w:rPr>
          <w:rFonts w:eastAsia="Calibri"/>
          <w:sz w:val="24"/>
          <w:szCs w:val="24"/>
          <w:lang w:eastAsia="en-US"/>
        </w:rPr>
        <w:t>shall be varied and shall operate as follows:</w:t>
      </w:r>
    </w:p>
    <w:p w14:paraId="62074241" w14:textId="77777777" w:rsidR="00C02431" w:rsidRPr="003D67C6" w:rsidRDefault="008D0552" w:rsidP="00C02431">
      <w:pPr>
        <w:spacing w:after="160" w:line="259" w:lineRule="auto"/>
        <w:rPr>
          <w:rFonts w:eastAsia="Calibri"/>
          <w:sz w:val="24"/>
          <w:szCs w:val="24"/>
          <w:lang w:eastAsia="en-US"/>
        </w:rPr>
      </w:pPr>
      <w:r w:rsidRPr="00B2080F">
        <w:rPr>
          <w:rFonts w:eastAsia="Calibri"/>
          <w:b/>
          <w:bCs/>
          <w:sz w:val="24"/>
          <w:szCs w:val="24"/>
          <w:lang w:eastAsia="en-US"/>
        </w:rPr>
        <w:t>10.</w:t>
      </w:r>
      <w:r w:rsidR="003170A0">
        <w:rPr>
          <w:rFonts w:eastAsia="Calibri"/>
          <w:b/>
          <w:bCs/>
          <w:sz w:val="24"/>
          <w:szCs w:val="24"/>
          <w:lang w:eastAsia="en-US"/>
        </w:rPr>
        <w:t>1</w:t>
      </w:r>
      <w:r w:rsidRPr="003D67C6">
        <w:rPr>
          <w:rFonts w:eastAsia="Calibri"/>
          <w:sz w:val="24"/>
          <w:szCs w:val="24"/>
          <w:lang w:eastAsia="en-US"/>
        </w:rPr>
        <w:t xml:space="preserve"> Extended Disclosure will be given using only Models</w:t>
      </w:r>
      <w:r>
        <w:rPr>
          <w:rFonts w:eastAsia="Calibri"/>
          <w:sz w:val="24"/>
          <w:szCs w:val="24"/>
          <w:lang w:eastAsia="en-US"/>
        </w:rPr>
        <w:t xml:space="preserve"> A,</w:t>
      </w:r>
      <w:r w:rsidRPr="003D67C6">
        <w:rPr>
          <w:rFonts w:eastAsia="Calibri"/>
          <w:sz w:val="24"/>
          <w:szCs w:val="24"/>
          <w:lang w:eastAsia="en-US"/>
        </w:rPr>
        <w:t xml:space="preserve"> B or D. Models C and E are not available for use in a Less Complex Claim.</w:t>
      </w:r>
    </w:p>
    <w:p w14:paraId="62074242" w14:textId="77777777" w:rsidR="003D67C6" w:rsidRPr="003D67C6" w:rsidRDefault="008D0552" w:rsidP="00AC1DD1">
      <w:pPr>
        <w:spacing w:after="160" w:line="259" w:lineRule="auto"/>
        <w:rPr>
          <w:rFonts w:eastAsia="Calibri"/>
          <w:sz w:val="24"/>
          <w:szCs w:val="24"/>
          <w:lang w:eastAsia="en-US"/>
        </w:rPr>
      </w:pPr>
      <w:r w:rsidRPr="00B2080F">
        <w:rPr>
          <w:rFonts w:eastAsia="Calibri"/>
          <w:b/>
          <w:bCs/>
          <w:sz w:val="24"/>
          <w:szCs w:val="24"/>
          <w:lang w:eastAsia="en-US"/>
        </w:rPr>
        <w:t>10.</w:t>
      </w:r>
      <w:r w:rsidR="003170A0">
        <w:rPr>
          <w:rFonts w:eastAsia="Calibri"/>
          <w:b/>
          <w:bCs/>
          <w:sz w:val="24"/>
          <w:szCs w:val="24"/>
          <w:lang w:eastAsia="en-US"/>
        </w:rPr>
        <w:t>2</w:t>
      </w:r>
      <w:r w:rsidRPr="003D67C6">
        <w:rPr>
          <w:rFonts w:eastAsia="Calibri"/>
          <w:sz w:val="24"/>
          <w:szCs w:val="24"/>
          <w:lang w:eastAsia="en-US"/>
        </w:rPr>
        <w:t xml:space="preserve"> The parties shall complete a </w:t>
      </w:r>
      <w:r>
        <w:rPr>
          <w:rFonts w:eastAsia="Calibri"/>
          <w:sz w:val="24"/>
          <w:szCs w:val="24"/>
          <w:lang w:eastAsia="en-US"/>
        </w:rPr>
        <w:t>disclosure review document</w:t>
      </w:r>
      <w:r w:rsidRPr="003D67C6">
        <w:rPr>
          <w:rFonts w:eastAsia="Calibri"/>
          <w:sz w:val="24"/>
          <w:szCs w:val="24"/>
          <w:lang w:eastAsia="en-US"/>
        </w:rPr>
        <w:t xml:space="preserve"> in the form set out in Appendix 6 in accordance with the timetable contained within </w:t>
      </w:r>
      <w:r w:rsidR="00B877C0">
        <w:rPr>
          <w:rFonts w:eastAsia="Calibri"/>
          <w:sz w:val="24"/>
          <w:szCs w:val="24"/>
          <w:lang w:eastAsia="en-US"/>
        </w:rPr>
        <w:t xml:space="preserve">paragraphs 7 and 10 </w:t>
      </w:r>
      <w:r w:rsidR="00680F50">
        <w:rPr>
          <w:rFonts w:eastAsia="Calibri"/>
          <w:sz w:val="24"/>
          <w:szCs w:val="24"/>
          <w:lang w:eastAsia="en-US"/>
        </w:rPr>
        <w:t xml:space="preserve">of </w:t>
      </w:r>
      <w:r w:rsidR="00F2019A">
        <w:rPr>
          <w:rFonts w:eastAsia="Calibri"/>
          <w:sz w:val="24"/>
          <w:szCs w:val="24"/>
          <w:lang w:eastAsia="en-US"/>
        </w:rPr>
        <w:t xml:space="preserve">Practice Direction </w:t>
      </w:r>
      <w:proofErr w:type="spellStart"/>
      <w:r w:rsidR="00F2019A">
        <w:rPr>
          <w:rFonts w:eastAsia="Calibri"/>
          <w:sz w:val="24"/>
          <w:szCs w:val="24"/>
          <w:lang w:eastAsia="en-US"/>
        </w:rPr>
        <w:t>57AD</w:t>
      </w:r>
      <w:proofErr w:type="spellEnd"/>
      <w:r w:rsidR="00F2019A">
        <w:rPr>
          <w:rFonts w:eastAsia="Calibri"/>
          <w:sz w:val="24"/>
          <w:szCs w:val="24"/>
          <w:lang w:eastAsia="en-US"/>
        </w:rPr>
        <w:t xml:space="preserve"> </w:t>
      </w:r>
      <w:r w:rsidR="00B877C0">
        <w:rPr>
          <w:rFonts w:eastAsia="Calibri"/>
          <w:sz w:val="24"/>
          <w:szCs w:val="24"/>
          <w:lang w:eastAsia="en-US"/>
        </w:rPr>
        <w:t xml:space="preserve">and </w:t>
      </w:r>
      <w:r w:rsidR="00093863">
        <w:rPr>
          <w:rFonts w:eastAsia="Calibri"/>
          <w:sz w:val="24"/>
          <w:szCs w:val="24"/>
          <w:lang w:eastAsia="en-US"/>
        </w:rPr>
        <w:t>Appendix 7</w:t>
      </w:r>
      <w:r w:rsidRPr="003D67C6">
        <w:rPr>
          <w:rFonts w:eastAsia="Calibri"/>
          <w:sz w:val="24"/>
          <w:szCs w:val="24"/>
          <w:lang w:eastAsia="en-US"/>
        </w:rPr>
        <w:t>.</w:t>
      </w:r>
    </w:p>
    <w:p w14:paraId="62074243" w14:textId="77777777" w:rsidR="003170A0" w:rsidRDefault="008D0552" w:rsidP="00AC1DD1">
      <w:pPr>
        <w:spacing w:after="160" w:line="259" w:lineRule="auto"/>
        <w:rPr>
          <w:rFonts w:eastAsia="Calibri"/>
          <w:b/>
          <w:bCs/>
          <w:sz w:val="24"/>
          <w:szCs w:val="24"/>
          <w:lang w:eastAsia="en-US"/>
        </w:rPr>
      </w:pPr>
      <w:r w:rsidRPr="00B2080F">
        <w:rPr>
          <w:rFonts w:eastAsia="Calibri"/>
          <w:b/>
          <w:bCs/>
          <w:sz w:val="24"/>
          <w:szCs w:val="24"/>
          <w:lang w:eastAsia="en-US"/>
        </w:rPr>
        <w:t>10.</w:t>
      </w:r>
      <w:r w:rsidR="005E0F9C">
        <w:rPr>
          <w:rFonts w:eastAsia="Calibri"/>
          <w:b/>
          <w:bCs/>
          <w:sz w:val="24"/>
          <w:szCs w:val="24"/>
          <w:lang w:eastAsia="en-US"/>
        </w:rPr>
        <w:t>3</w:t>
      </w:r>
      <w:r w:rsidRPr="003D67C6">
        <w:rPr>
          <w:rFonts w:eastAsia="Calibri"/>
          <w:sz w:val="24"/>
          <w:szCs w:val="24"/>
          <w:lang w:eastAsia="en-US"/>
        </w:rPr>
        <w:t xml:space="preserve"> </w:t>
      </w:r>
      <w:r w:rsidRPr="00EB7D9B">
        <w:rPr>
          <w:rFonts w:eastAsia="Calibri"/>
          <w:sz w:val="24"/>
          <w:szCs w:val="24"/>
          <w:lang w:eastAsia="en-US"/>
        </w:rPr>
        <w:t xml:space="preserve">As provided for in paragraphs 7.1 and 10.1 of </w:t>
      </w:r>
      <w:r w:rsidR="00F2019A">
        <w:rPr>
          <w:rFonts w:eastAsia="Calibri"/>
          <w:sz w:val="24"/>
          <w:szCs w:val="24"/>
          <w:lang w:eastAsia="en-US"/>
        </w:rPr>
        <w:t xml:space="preserve">Practice Direction </w:t>
      </w:r>
      <w:proofErr w:type="spellStart"/>
      <w:r w:rsidR="00F2019A">
        <w:rPr>
          <w:rFonts w:eastAsia="Calibri"/>
          <w:sz w:val="24"/>
          <w:szCs w:val="24"/>
          <w:lang w:eastAsia="en-US"/>
        </w:rPr>
        <w:t>57AD</w:t>
      </w:r>
      <w:proofErr w:type="spellEnd"/>
      <w:r w:rsidRPr="00EB7D9B">
        <w:rPr>
          <w:rFonts w:eastAsia="Calibri"/>
          <w:sz w:val="24"/>
          <w:szCs w:val="24"/>
          <w:lang w:eastAsia="en-US"/>
        </w:rPr>
        <w:t>, if none of the parties are requesting search-based Extended Disclosure (ie Model D), but instead are only proposing Models A and/or B, then the provision</w:t>
      </w:r>
      <w:r w:rsidRPr="00EB7D9B">
        <w:rPr>
          <w:rFonts w:eastAsia="Calibri"/>
          <w:sz w:val="24"/>
          <w:szCs w:val="24"/>
          <w:lang w:eastAsia="en-US"/>
        </w:rPr>
        <w:t xml:space="preserve">s in Appendices 5, 6 and 7 shall not apply </w:t>
      </w:r>
      <w:r w:rsidR="005E0F9C">
        <w:rPr>
          <w:rFonts w:eastAsia="Calibri"/>
          <w:sz w:val="24"/>
          <w:szCs w:val="24"/>
          <w:lang w:eastAsia="en-US"/>
        </w:rPr>
        <w:t xml:space="preserve">(unless the court orders to the contrary) </w:t>
      </w:r>
      <w:r w:rsidRPr="00EB7D9B">
        <w:rPr>
          <w:rFonts w:eastAsia="Calibri"/>
          <w:sz w:val="24"/>
          <w:szCs w:val="24"/>
          <w:lang w:eastAsia="en-US"/>
        </w:rPr>
        <w:t>and there shall be no requirement to identify the Issues for Disclosure or to complete a Disclosure Review Document, although the parties may</w:t>
      </w:r>
      <w:r w:rsidR="005E0F9C">
        <w:rPr>
          <w:rFonts w:eastAsia="Calibri"/>
          <w:sz w:val="24"/>
          <w:szCs w:val="24"/>
          <w:lang w:eastAsia="en-US"/>
        </w:rPr>
        <w:t xml:space="preserve"> agree to</w:t>
      </w:r>
      <w:r w:rsidRPr="00EB7D9B">
        <w:rPr>
          <w:rFonts w:eastAsia="Calibri"/>
          <w:sz w:val="24"/>
          <w:szCs w:val="24"/>
          <w:lang w:eastAsia="en-US"/>
        </w:rPr>
        <w:t xml:space="preserve"> do so if they consider this will assist.</w:t>
      </w:r>
    </w:p>
    <w:p w14:paraId="62074244" w14:textId="77777777" w:rsidR="003D67C6" w:rsidRPr="003D67C6" w:rsidRDefault="008D0552"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4</w:t>
      </w:r>
      <w:r w:rsidRPr="003D67C6">
        <w:rPr>
          <w:rFonts w:eastAsia="Calibri"/>
          <w:sz w:val="24"/>
          <w:szCs w:val="24"/>
          <w:lang w:eastAsia="en-US"/>
        </w:rPr>
        <w:t xml:space="preserve"> “Issues for Disclosure” has the same meaning as in paragraph 7.</w:t>
      </w:r>
      <w:r w:rsidR="00A311AD">
        <w:rPr>
          <w:rFonts w:eastAsia="Calibri"/>
          <w:sz w:val="24"/>
          <w:szCs w:val="24"/>
          <w:lang w:eastAsia="en-US"/>
        </w:rPr>
        <w:t>6</w:t>
      </w:r>
      <w:r w:rsidRPr="003D67C6">
        <w:rPr>
          <w:rFonts w:eastAsia="Calibri"/>
          <w:sz w:val="24"/>
          <w:szCs w:val="24"/>
          <w:lang w:eastAsia="en-US"/>
        </w:rPr>
        <w:t xml:space="preserve"> </w:t>
      </w:r>
      <w:r w:rsidR="00F2019A">
        <w:rPr>
          <w:rFonts w:eastAsia="Calibri"/>
          <w:sz w:val="24"/>
          <w:szCs w:val="24"/>
          <w:lang w:eastAsia="en-US"/>
        </w:rPr>
        <w:t xml:space="preserve">of Practice Direction </w:t>
      </w:r>
      <w:proofErr w:type="spellStart"/>
      <w:r w:rsidR="00F2019A">
        <w:rPr>
          <w:rFonts w:eastAsia="Calibri"/>
          <w:sz w:val="24"/>
          <w:szCs w:val="24"/>
          <w:lang w:eastAsia="en-US"/>
        </w:rPr>
        <w:t>57AD</w:t>
      </w:r>
      <w:proofErr w:type="spellEnd"/>
      <w:r w:rsidRPr="003D67C6">
        <w:rPr>
          <w:rFonts w:eastAsia="Calibri"/>
          <w:sz w:val="24"/>
          <w:szCs w:val="24"/>
          <w:lang w:eastAsia="en-US"/>
        </w:rPr>
        <w:t xml:space="preserve">. </w:t>
      </w:r>
      <w:r w:rsidR="005E0F9C">
        <w:rPr>
          <w:rFonts w:eastAsia="Calibri"/>
          <w:sz w:val="24"/>
          <w:szCs w:val="24"/>
          <w:lang w:eastAsia="en-US"/>
        </w:rPr>
        <w:t>However, t</w:t>
      </w:r>
      <w:r w:rsidRPr="003D67C6">
        <w:rPr>
          <w:rFonts w:eastAsia="Calibri"/>
          <w:sz w:val="24"/>
          <w:szCs w:val="24"/>
          <w:lang w:eastAsia="en-US"/>
        </w:rPr>
        <w:t>he definition is to be applied with the following additional guidance. Issues for Disclosure in a Less Com</w:t>
      </w:r>
      <w:r w:rsidRPr="003D67C6">
        <w:rPr>
          <w:rFonts w:eastAsia="Calibri"/>
          <w:sz w:val="24"/>
          <w:szCs w:val="24"/>
          <w:lang w:eastAsia="en-US"/>
        </w:rPr>
        <w:t xml:space="preserve">plex </w:t>
      </w:r>
      <w:r w:rsidR="005E0F9C">
        <w:rPr>
          <w:rFonts w:eastAsia="Calibri"/>
          <w:sz w:val="24"/>
          <w:szCs w:val="24"/>
          <w:lang w:eastAsia="en-US"/>
        </w:rPr>
        <w:t>Claim</w:t>
      </w:r>
      <w:r w:rsidRPr="003D67C6">
        <w:rPr>
          <w:rFonts w:eastAsia="Calibri"/>
          <w:sz w:val="24"/>
          <w:szCs w:val="24"/>
          <w:lang w:eastAsia="en-US"/>
        </w:rPr>
        <w:t xml:space="preserve"> must be brief and be drafted at a high level of abstraction. </w:t>
      </w:r>
      <w:bookmarkStart w:id="1" w:name="_Hlk77233297"/>
      <w:r w:rsidRPr="003D67C6">
        <w:rPr>
          <w:rFonts w:eastAsia="Calibri"/>
          <w:sz w:val="24"/>
          <w:szCs w:val="24"/>
          <w:lang w:eastAsia="en-US"/>
        </w:rPr>
        <w:t xml:space="preserve">Only rarely should the number of Issues for Disclosure exceed </w:t>
      </w:r>
      <w:r w:rsidR="0009676F">
        <w:rPr>
          <w:rFonts w:eastAsia="Calibri"/>
          <w:sz w:val="24"/>
          <w:szCs w:val="24"/>
          <w:lang w:eastAsia="en-US"/>
        </w:rPr>
        <w:t>five</w:t>
      </w:r>
      <w:r w:rsidRPr="003D67C6">
        <w:rPr>
          <w:rFonts w:eastAsia="Calibri"/>
          <w:sz w:val="24"/>
          <w:szCs w:val="24"/>
          <w:lang w:eastAsia="en-US"/>
        </w:rPr>
        <w:t xml:space="preserve"> and they should not be defined by reference to sub-issues</w:t>
      </w:r>
      <w:r w:rsidR="0009676F">
        <w:rPr>
          <w:rFonts w:eastAsia="Calibri"/>
          <w:sz w:val="24"/>
          <w:szCs w:val="24"/>
          <w:lang w:eastAsia="en-US"/>
        </w:rPr>
        <w:t xml:space="preserve"> </w:t>
      </w:r>
      <w:r w:rsidR="0009676F" w:rsidRPr="0009676F">
        <w:rPr>
          <w:rFonts w:eastAsia="Calibri"/>
          <w:sz w:val="24"/>
          <w:szCs w:val="24"/>
          <w:lang w:eastAsia="en-US"/>
        </w:rPr>
        <w:t>if that will materially increase the length and complexity of the List of Issues for Disclosure</w:t>
      </w:r>
      <w:r w:rsidRPr="003D67C6">
        <w:rPr>
          <w:rFonts w:eastAsia="Calibri"/>
          <w:sz w:val="24"/>
          <w:szCs w:val="24"/>
          <w:lang w:eastAsia="en-US"/>
        </w:rPr>
        <w:t>.</w:t>
      </w:r>
      <w:bookmarkEnd w:id="1"/>
    </w:p>
    <w:p w14:paraId="62074245" w14:textId="77777777" w:rsidR="003D67C6" w:rsidRPr="003D67C6" w:rsidRDefault="008D0552"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5</w:t>
      </w:r>
      <w:r w:rsidRPr="003D67C6">
        <w:rPr>
          <w:rFonts w:eastAsia="Calibri"/>
          <w:sz w:val="24"/>
          <w:szCs w:val="24"/>
          <w:lang w:eastAsia="en-US"/>
        </w:rPr>
        <w:t xml:space="preserve"> </w:t>
      </w:r>
      <w:bookmarkStart w:id="2" w:name="_Hlk104200723"/>
      <w:r w:rsidR="005E40FB" w:rsidRPr="005E40FB">
        <w:rPr>
          <w:rFonts w:eastAsia="Calibri"/>
          <w:sz w:val="24"/>
          <w:szCs w:val="24"/>
          <w:lang w:eastAsia="en-US"/>
        </w:rPr>
        <w:t>When drafting Issues for Disclosure the parties should have regard to the primary functions of those Issues namely (i) to help the parties to consider,  and the court to determine, whether Extended Disclosure is required and, if so, which Model or Models should be used; (ii) to assist the parties in identifying documents and categories of documents that are likely to exist and require to be disclosed; (iii) to assist those carrying out the disclosure process to do so in a practical and proportionate way including, in the case of search-based disclosure, to help define and guide the searches; (iv) to assist with the process of reviewing documents produced by searches; and (v) to avoid the production of documents that are not relevant to the issues in the proceedings</w:t>
      </w:r>
      <w:r w:rsidRPr="003D67C6">
        <w:rPr>
          <w:rFonts w:eastAsia="Calibri"/>
          <w:sz w:val="24"/>
          <w:szCs w:val="24"/>
          <w:lang w:eastAsia="en-US"/>
        </w:rPr>
        <w:t xml:space="preserve">. </w:t>
      </w:r>
      <w:bookmarkEnd w:id="2"/>
    </w:p>
    <w:p w14:paraId="62074246" w14:textId="77777777" w:rsidR="001B7E9F" w:rsidRPr="003D67C6" w:rsidRDefault="008D0552" w:rsidP="001B7E9F">
      <w:pPr>
        <w:spacing w:after="160" w:line="259" w:lineRule="auto"/>
        <w:rPr>
          <w:rFonts w:eastAsia="Calibri"/>
          <w:sz w:val="24"/>
          <w:szCs w:val="24"/>
          <w:lang w:eastAsia="en-US"/>
        </w:rPr>
      </w:pPr>
      <w:r w:rsidRPr="00B2080F">
        <w:rPr>
          <w:rFonts w:eastAsia="Calibri"/>
          <w:b/>
          <w:bCs/>
          <w:sz w:val="24"/>
          <w:szCs w:val="24"/>
          <w:lang w:eastAsia="en-US"/>
        </w:rPr>
        <w:t>10.</w:t>
      </w:r>
      <w:r>
        <w:rPr>
          <w:rFonts w:eastAsia="Calibri"/>
          <w:b/>
          <w:bCs/>
          <w:sz w:val="24"/>
          <w:szCs w:val="24"/>
          <w:lang w:eastAsia="en-US"/>
        </w:rPr>
        <w:t>6</w:t>
      </w:r>
      <w:r w:rsidRPr="003D67C6">
        <w:rPr>
          <w:rFonts w:eastAsia="Calibri"/>
          <w:sz w:val="24"/>
          <w:szCs w:val="24"/>
          <w:lang w:eastAsia="en-US"/>
        </w:rPr>
        <w:t xml:space="preserve"> The parties may use issues for trial as a starting point for defining Issues for </w:t>
      </w:r>
      <w:proofErr w:type="gramStart"/>
      <w:r w:rsidRPr="003D67C6">
        <w:rPr>
          <w:rFonts w:eastAsia="Calibri"/>
          <w:sz w:val="24"/>
          <w:szCs w:val="24"/>
          <w:lang w:eastAsia="en-US"/>
        </w:rPr>
        <w:t>Disclosure</w:t>
      </w:r>
      <w:proofErr w:type="gramEnd"/>
      <w:r w:rsidRPr="003D67C6">
        <w:rPr>
          <w:rFonts w:eastAsia="Calibri"/>
          <w:sz w:val="24"/>
          <w:szCs w:val="24"/>
          <w:lang w:eastAsia="en-US"/>
        </w:rPr>
        <w:t xml:space="preserve"> but it is not the function of Issues for Disclosure to replace issues for trial.</w:t>
      </w:r>
    </w:p>
    <w:p w14:paraId="62074247" w14:textId="77777777" w:rsidR="005E0F9C" w:rsidRPr="003D67C6" w:rsidRDefault="008D0552" w:rsidP="005E0F9C">
      <w:pPr>
        <w:spacing w:after="160" w:line="259" w:lineRule="auto"/>
        <w:rPr>
          <w:rFonts w:eastAsia="Calibri"/>
          <w:sz w:val="24"/>
          <w:szCs w:val="24"/>
          <w:lang w:eastAsia="en-US"/>
        </w:rPr>
      </w:pPr>
      <w:r w:rsidRPr="00B2080F">
        <w:rPr>
          <w:rFonts w:eastAsia="Calibri"/>
          <w:b/>
          <w:bCs/>
          <w:sz w:val="24"/>
          <w:szCs w:val="24"/>
          <w:lang w:eastAsia="en-US"/>
        </w:rPr>
        <w:t>10.</w:t>
      </w:r>
      <w:r w:rsidR="001B7E9F">
        <w:rPr>
          <w:rFonts w:eastAsia="Calibri"/>
          <w:b/>
          <w:bCs/>
          <w:sz w:val="24"/>
          <w:szCs w:val="24"/>
          <w:lang w:eastAsia="en-US"/>
        </w:rPr>
        <w:t>7</w:t>
      </w:r>
      <w:r w:rsidRPr="003D67C6">
        <w:rPr>
          <w:rFonts w:eastAsia="Calibri"/>
          <w:sz w:val="24"/>
          <w:szCs w:val="24"/>
          <w:lang w:eastAsia="en-US"/>
        </w:rPr>
        <w:t xml:space="preserve"> The parties must discuss and seek to agree the draft List of issues for Disclosure in advance of the date fixed for the first case management conference.</w:t>
      </w:r>
    </w:p>
    <w:p w14:paraId="62074248" w14:textId="77777777" w:rsidR="003D67C6" w:rsidRPr="003D67C6" w:rsidRDefault="008D0552"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8</w:t>
      </w:r>
      <w:r w:rsidRPr="003D67C6">
        <w:rPr>
          <w:rFonts w:eastAsia="Calibri"/>
          <w:sz w:val="24"/>
          <w:szCs w:val="24"/>
          <w:lang w:eastAsia="en-US"/>
        </w:rPr>
        <w:t xml:space="preserve"> The parties must </w:t>
      </w:r>
      <w:proofErr w:type="gramStart"/>
      <w:r w:rsidRPr="003D67C6">
        <w:rPr>
          <w:rFonts w:eastAsia="Calibri"/>
          <w:sz w:val="24"/>
          <w:szCs w:val="24"/>
          <w:lang w:eastAsia="en-US"/>
        </w:rPr>
        <w:t>at all times</w:t>
      </w:r>
      <w:proofErr w:type="gramEnd"/>
      <w:r w:rsidRPr="003D67C6">
        <w:rPr>
          <w:rFonts w:eastAsia="Calibri"/>
          <w:sz w:val="24"/>
          <w:szCs w:val="24"/>
          <w:lang w:eastAsia="en-US"/>
        </w:rPr>
        <w:t xml:space="preserve"> have regard to their duties under paragraph 3 (in particular the duty placed upon legal representatives under paragraph 3.2(3)) of </w:t>
      </w:r>
      <w:r w:rsidR="00F2019A">
        <w:rPr>
          <w:rFonts w:eastAsia="Calibri"/>
          <w:sz w:val="24"/>
          <w:szCs w:val="24"/>
          <w:lang w:eastAsia="en-US"/>
        </w:rPr>
        <w:t xml:space="preserve">Practice Direction </w:t>
      </w:r>
      <w:proofErr w:type="spellStart"/>
      <w:r w:rsidR="00F2019A">
        <w:rPr>
          <w:rFonts w:eastAsia="Calibri"/>
          <w:sz w:val="24"/>
          <w:szCs w:val="24"/>
          <w:lang w:eastAsia="en-US"/>
        </w:rPr>
        <w:t>57AD</w:t>
      </w:r>
      <w:proofErr w:type="spellEnd"/>
      <w:r w:rsidR="00F2019A">
        <w:rPr>
          <w:rFonts w:eastAsia="Calibri"/>
          <w:sz w:val="24"/>
          <w:szCs w:val="24"/>
          <w:lang w:eastAsia="en-US"/>
        </w:rPr>
        <w:t xml:space="preserve"> </w:t>
      </w:r>
      <w:r w:rsidRPr="003D67C6">
        <w:rPr>
          <w:rFonts w:eastAsia="Calibri"/>
          <w:sz w:val="24"/>
          <w:szCs w:val="24"/>
          <w:lang w:eastAsia="en-US"/>
        </w:rPr>
        <w:t>and their duty to assist the court to further the overriding objective</w:t>
      </w:r>
      <w:r w:rsidRPr="003D67C6">
        <w:rPr>
          <w:rFonts w:eastAsia="Calibri"/>
          <w:sz w:val="24"/>
          <w:szCs w:val="24"/>
          <w:lang w:eastAsia="en-US"/>
        </w:rPr>
        <w:t xml:space="preserve">, in particular to deal with the claim at proportionate cost. The parties should recognise that there may be genuine differences of view about whether Extended </w:t>
      </w:r>
      <w:r w:rsidRPr="003D67C6">
        <w:rPr>
          <w:rFonts w:eastAsia="Calibri"/>
          <w:sz w:val="24"/>
          <w:szCs w:val="24"/>
          <w:lang w:eastAsia="en-US"/>
        </w:rPr>
        <w:lastRenderedPageBreak/>
        <w:t>Disclosure should be ordered and, if so, what order should be made. If the parties are unable to</w:t>
      </w:r>
      <w:r w:rsidRPr="003D67C6">
        <w:rPr>
          <w:rFonts w:eastAsia="Calibri"/>
          <w:sz w:val="24"/>
          <w:szCs w:val="24"/>
          <w:lang w:eastAsia="en-US"/>
        </w:rPr>
        <w:t xml:space="preserve"> agree the terms of an order for Extended Disclosure after reasonable engagement between them</w:t>
      </w:r>
      <w:r w:rsidR="000901D3">
        <w:rPr>
          <w:rFonts w:eastAsia="Calibri"/>
          <w:sz w:val="24"/>
          <w:szCs w:val="24"/>
          <w:lang w:eastAsia="en-US"/>
        </w:rPr>
        <w:t>,</w:t>
      </w:r>
      <w:r w:rsidRPr="003D67C6">
        <w:rPr>
          <w:rFonts w:eastAsia="Calibri"/>
          <w:sz w:val="24"/>
          <w:szCs w:val="24"/>
          <w:lang w:eastAsia="en-US"/>
        </w:rPr>
        <w:t xml:space="preserve"> brief submissions on the differences of approach should be made to the court at the case management conference and the court requested to </w:t>
      </w:r>
      <w:proofErr w:type="gramStart"/>
      <w:r w:rsidRPr="003D67C6">
        <w:rPr>
          <w:rFonts w:eastAsia="Calibri"/>
          <w:sz w:val="24"/>
          <w:szCs w:val="24"/>
          <w:lang w:eastAsia="en-US"/>
        </w:rPr>
        <w:t>make a determination</w:t>
      </w:r>
      <w:proofErr w:type="gramEnd"/>
      <w:r w:rsidRPr="003D67C6">
        <w:rPr>
          <w:rFonts w:eastAsia="Calibri"/>
          <w:i/>
          <w:iCs/>
          <w:sz w:val="24"/>
          <w:szCs w:val="24"/>
          <w:lang w:eastAsia="en-US"/>
        </w:rPr>
        <w:t>.</w:t>
      </w:r>
    </w:p>
    <w:p w14:paraId="62074249" w14:textId="77777777" w:rsidR="003D67C6" w:rsidRPr="003D67C6" w:rsidRDefault="008D0552" w:rsidP="003D67C6">
      <w:pPr>
        <w:spacing w:after="160" w:line="259" w:lineRule="auto"/>
        <w:rPr>
          <w:rFonts w:eastAsia="Calibri"/>
          <w:sz w:val="24"/>
          <w:szCs w:val="24"/>
          <w:lang w:eastAsia="en-US"/>
        </w:rPr>
      </w:pPr>
      <w:r w:rsidRPr="00B2080F">
        <w:rPr>
          <w:rFonts w:eastAsia="Calibri"/>
          <w:b/>
          <w:bCs/>
          <w:sz w:val="24"/>
          <w:szCs w:val="24"/>
          <w:lang w:eastAsia="en-US"/>
        </w:rPr>
        <w:t>1</w:t>
      </w:r>
      <w:r w:rsidRPr="00B2080F">
        <w:rPr>
          <w:rFonts w:eastAsia="Calibri"/>
          <w:b/>
          <w:bCs/>
          <w:sz w:val="24"/>
          <w:szCs w:val="24"/>
          <w:lang w:eastAsia="en-US"/>
        </w:rPr>
        <w:t>1.</w:t>
      </w:r>
      <w:r w:rsidRPr="003D67C6">
        <w:rPr>
          <w:rFonts w:eastAsia="Calibri"/>
          <w:sz w:val="24"/>
          <w:szCs w:val="24"/>
          <w:lang w:eastAsia="en-US"/>
        </w:rPr>
        <w:t xml:space="preserve"> For the avoidance of doub</w:t>
      </w:r>
      <w:r w:rsidR="001B7E9F">
        <w:rPr>
          <w:rFonts w:eastAsia="Calibri"/>
          <w:sz w:val="24"/>
          <w:szCs w:val="24"/>
          <w:lang w:eastAsia="en-US"/>
        </w:rPr>
        <w:t>t, all</w:t>
      </w:r>
      <w:r w:rsidRPr="003D67C6">
        <w:rPr>
          <w:rFonts w:eastAsia="Calibri"/>
          <w:sz w:val="24"/>
          <w:szCs w:val="24"/>
          <w:lang w:eastAsia="en-US"/>
        </w:rPr>
        <w:t xml:space="preserve"> provisions</w:t>
      </w:r>
      <w:r w:rsidR="001B7E9F">
        <w:rPr>
          <w:rFonts w:eastAsia="Calibri"/>
          <w:sz w:val="24"/>
          <w:szCs w:val="24"/>
          <w:lang w:eastAsia="en-US"/>
        </w:rPr>
        <w:t xml:space="preserve"> in the main body</w:t>
      </w:r>
      <w:r w:rsidRPr="003D67C6">
        <w:rPr>
          <w:rFonts w:eastAsia="Calibri"/>
          <w:sz w:val="24"/>
          <w:szCs w:val="24"/>
          <w:lang w:eastAsia="en-US"/>
        </w:rPr>
        <w:t xml:space="preserve"> of</w:t>
      </w:r>
      <w:r w:rsidR="007D182C">
        <w:rPr>
          <w:rFonts w:eastAsia="Calibri"/>
          <w:sz w:val="24"/>
          <w:szCs w:val="24"/>
          <w:lang w:eastAsia="en-US"/>
        </w:rPr>
        <w:t xml:space="preserve"> </w:t>
      </w:r>
      <w:r w:rsidR="00F2019A">
        <w:rPr>
          <w:rFonts w:eastAsia="Calibri"/>
          <w:sz w:val="24"/>
          <w:szCs w:val="24"/>
          <w:lang w:eastAsia="en-US"/>
        </w:rPr>
        <w:t xml:space="preserve">Practice Direction </w:t>
      </w:r>
      <w:proofErr w:type="spellStart"/>
      <w:r w:rsidR="00F2019A">
        <w:rPr>
          <w:rFonts w:eastAsia="Calibri"/>
          <w:sz w:val="24"/>
          <w:szCs w:val="24"/>
          <w:lang w:eastAsia="en-US"/>
        </w:rPr>
        <w:t>57AD</w:t>
      </w:r>
      <w:proofErr w:type="spellEnd"/>
      <w:r w:rsidRPr="003D67C6">
        <w:rPr>
          <w:rFonts w:eastAsia="Calibri"/>
          <w:sz w:val="24"/>
          <w:szCs w:val="24"/>
          <w:lang w:eastAsia="en-US"/>
        </w:rPr>
        <w:t xml:space="preserve"> </w:t>
      </w:r>
      <w:r w:rsidR="001B7E9F">
        <w:rPr>
          <w:rFonts w:eastAsia="Calibri"/>
          <w:sz w:val="24"/>
          <w:szCs w:val="24"/>
          <w:lang w:eastAsia="en-US"/>
        </w:rPr>
        <w:t>regarding</w:t>
      </w:r>
      <w:r w:rsidRPr="003D67C6">
        <w:rPr>
          <w:rFonts w:eastAsia="Calibri"/>
          <w:sz w:val="24"/>
          <w:szCs w:val="24"/>
          <w:lang w:eastAsia="en-US"/>
        </w:rPr>
        <w:t xml:space="preserve"> </w:t>
      </w:r>
      <w:r w:rsidR="000901D3">
        <w:rPr>
          <w:rFonts w:eastAsia="Calibri"/>
          <w:sz w:val="24"/>
          <w:szCs w:val="24"/>
          <w:lang w:eastAsia="en-US"/>
        </w:rPr>
        <w:t xml:space="preserve">Known </w:t>
      </w:r>
      <w:r w:rsidRPr="003D67C6">
        <w:rPr>
          <w:rFonts w:eastAsia="Calibri"/>
          <w:sz w:val="24"/>
          <w:szCs w:val="24"/>
          <w:lang w:eastAsia="en-US"/>
        </w:rPr>
        <w:t>Adverse Documents apply to Less Complex Claims.</w:t>
      </w:r>
    </w:p>
    <w:p w14:paraId="6207424A" w14:textId="77777777" w:rsidR="00207732" w:rsidRPr="00207732" w:rsidRDefault="008D0552" w:rsidP="00AC1DD1">
      <w:pPr>
        <w:spacing w:before="100" w:beforeAutospacing="1" w:after="100" w:afterAutospacing="1" w:line="360" w:lineRule="auto"/>
        <w:jc w:val="center"/>
        <w:rPr>
          <w:rFonts w:ascii="Arial" w:hAnsi="Arial" w:cs="Arial"/>
          <w:sz w:val="24"/>
          <w:szCs w:val="24"/>
        </w:rPr>
      </w:pPr>
      <w:r>
        <w:rPr>
          <w:rFonts w:ascii="Arial" w:hAnsi="Arial" w:cs="Arial"/>
          <w:sz w:val="24"/>
          <w:szCs w:val="24"/>
        </w:rPr>
        <w:t>END</w:t>
      </w:r>
      <w:bookmarkEnd w:id="0"/>
    </w:p>
    <w:sectPr w:rsidR="00207732" w:rsidRPr="00207732" w:rsidSect="00CC1E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D7A9B" w14:textId="77777777" w:rsidR="008D0552" w:rsidRDefault="008D0552">
      <w:r>
        <w:separator/>
      </w:r>
    </w:p>
  </w:endnote>
  <w:endnote w:type="continuationSeparator" w:id="0">
    <w:p w14:paraId="2711DAFE" w14:textId="77777777" w:rsidR="008D0552" w:rsidRDefault="008D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4D" w14:textId="77777777" w:rsidR="00C52783" w:rsidRDefault="008D0552"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7424E" w14:textId="77777777" w:rsidR="00C52783" w:rsidRDefault="00C5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4F" w14:textId="77777777" w:rsidR="00C52783" w:rsidRDefault="008D0552"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2074250" w14:textId="77777777" w:rsidR="00C52783" w:rsidRDefault="00C52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52" w14:textId="77777777" w:rsidR="00F2019A" w:rsidRDefault="00F2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CAC12" w14:textId="77777777" w:rsidR="008D0552" w:rsidRDefault="008D0552">
      <w:r>
        <w:separator/>
      </w:r>
    </w:p>
  </w:footnote>
  <w:footnote w:type="continuationSeparator" w:id="0">
    <w:p w14:paraId="7A0D24D9" w14:textId="77777777" w:rsidR="008D0552" w:rsidRDefault="008D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4B" w14:textId="77777777" w:rsidR="00F2019A" w:rsidRDefault="00F2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4C" w14:textId="77777777" w:rsidR="004320F0" w:rsidRPr="004320F0" w:rsidRDefault="008D0552" w:rsidP="004320F0">
    <w:pPr>
      <w:pStyle w:val="Header"/>
      <w:jc w:val="right"/>
      <w:rPr>
        <w:i/>
        <w:iCs/>
      </w:rPr>
    </w:pPr>
    <w:r w:rsidRPr="004320F0">
      <w:rPr>
        <w:i/>
        <w:iCs/>
      </w:rPr>
      <w:t>DRAFT – Subject to Ministerial approval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4251" w14:textId="77777777" w:rsidR="00F2019A" w:rsidRDefault="00F2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tplc="3416B636">
      <w:start w:val="1"/>
      <w:numFmt w:val="lowerLetter"/>
      <w:pStyle w:val="Normalandaerial"/>
      <w:lvlText w:val="(%1)"/>
      <w:lvlJc w:val="left"/>
      <w:pPr>
        <w:tabs>
          <w:tab w:val="num" w:pos="1185"/>
        </w:tabs>
        <w:ind w:left="1185" w:hanging="525"/>
      </w:pPr>
      <w:rPr>
        <w:rFonts w:hint="default"/>
      </w:rPr>
    </w:lvl>
    <w:lvl w:ilvl="1" w:tplc="B50E7A22" w:tentative="1">
      <w:start w:val="1"/>
      <w:numFmt w:val="lowerLetter"/>
      <w:lvlText w:val="%2."/>
      <w:lvlJc w:val="left"/>
      <w:pPr>
        <w:tabs>
          <w:tab w:val="num" w:pos="1800"/>
        </w:tabs>
        <w:ind w:left="1800" w:hanging="360"/>
      </w:pPr>
    </w:lvl>
    <w:lvl w:ilvl="2" w:tplc="0EA88580" w:tentative="1">
      <w:start w:val="1"/>
      <w:numFmt w:val="lowerRoman"/>
      <w:lvlText w:val="%3."/>
      <w:lvlJc w:val="right"/>
      <w:pPr>
        <w:tabs>
          <w:tab w:val="num" w:pos="2520"/>
        </w:tabs>
        <w:ind w:left="2520" w:hanging="180"/>
      </w:pPr>
    </w:lvl>
    <w:lvl w:ilvl="3" w:tplc="1AD60D12" w:tentative="1">
      <w:start w:val="1"/>
      <w:numFmt w:val="decimal"/>
      <w:lvlText w:val="%4."/>
      <w:lvlJc w:val="left"/>
      <w:pPr>
        <w:tabs>
          <w:tab w:val="num" w:pos="3240"/>
        </w:tabs>
        <w:ind w:left="3240" w:hanging="360"/>
      </w:pPr>
    </w:lvl>
    <w:lvl w:ilvl="4" w:tplc="E81403A2" w:tentative="1">
      <w:start w:val="1"/>
      <w:numFmt w:val="lowerLetter"/>
      <w:lvlText w:val="%5."/>
      <w:lvlJc w:val="left"/>
      <w:pPr>
        <w:tabs>
          <w:tab w:val="num" w:pos="3960"/>
        </w:tabs>
        <w:ind w:left="3960" w:hanging="360"/>
      </w:pPr>
    </w:lvl>
    <w:lvl w:ilvl="5" w:tplc="B2260352" w:tentative="1">
      <w:start w:val="1"/>
      <w:numFmt w:val="lowerRoman"/>
      <w:lvlText w:val="%6."/>
      <w:lvlJc w:val="right"/>
      <w:pPr>
        <w:tabs>
          <w:tab w:val="num" w:pos="4680"/>
        </w:tabs>
        <w:ind w:left="4680" w:hanging="180"/>
      </w:pPr>
    </w:lvl>
    <w:lvl w:ilvl="6" w:tplc="9DC4E344" w:tentative="1">
      <w:start w:val="1"/>
      <w:numFmt w:val="decimal"/>
      <w:lvlText w:val="%7."/>
      <w:lvlJc w:val="left"/>
      <w:pPr>
        <w:tabs>
          <w:tab w:val="num" w:pos="5400"/>
        </w:tabs>
        <w:ind w:left="5400" w:hanging="360"/>
      </w:pPr>
    </w:lvl>
    <w:lvl w:ilvl="7" w:tplc="55868076" w:tentative="1">
      <w:start w:val="1"/>
      <w:numFmt w:val="lowerLetter"/>
      <w:lvlText w:val="%8."/>
      <w:lvlJc w:val="left"/>
      <w:pPr>
        <w:tabs>
          <w:tab w:val="num" w:pos="6120"/>
        </w:tabs>
        <w:ind w:left="6120" w:hanging="360"/>
      </w:pPr>
    </w:lvl>
    <w:lvl w:ilvl="8" w:tplc="8F9E2A22"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tplc="21EA9194">
      <w:start w:val="1"/>
      <w:numFmt w:val="lowerLetter"/>
      <w:lvlText w:val="(%1)"/>
      <w:lvlJc w:val="left"/>
      <w:pPr>
        <w:ind w:left="720" w:hanging="360"/>
      </w:pPr>
      <w:rPr>
        <w:rFonts w:hint="default"/>
      </w:rPr>
    </w:lvl>
    <w:lvl w:ilvl="1" w:tplc="4710ADCE" w:tentative="1">
      <w:start w:val="1"/>
      <w:numFmt w:val="lowerLetter"/>
      <w:lvlText w:val="%2."/>
      <w:lvlJc w:val="left"/>
      <w:pPr>
        <w:ind w:left="1440" w:hanging="360"/>
      </w:pPr>
    </w:lvl>
    <w:lvl w:ilvl="2" w:tplc="34062EAC" w:tentative="1">
      <w:start w:val="1"/>
      <w:numFmt w:val="lowerRoman"/>
      <w:lvlText w:val="%3."/>
      <w:lvlJc w:val="right"/>
      <w:pPr>
        <w:ind w:left="2160" w:hanging="180"/>
      </w:pPr>
    </w:lvl>
    <w:lvl w:ilvl="3" w:tplc="DC068C44" w:tentative="1">
      <w:start w:val="1"/>
      <w:numFmt w:val="decimal"/>
      <w:lvlText w:val="%4."/>
      <w:lvlJc w:val="left"/>
      <w:pPr>
        <w:ind w:left="2880" w:hanging="360"/>
      </w:pPr>
    </w:lvl>
    <w:lvl w:ilvl="4" w:tplc="700882F0" w:tentative="1">
      <w:start w:val="1"/>
      <w:numFmt w:val="lowerLetter"/>
      <w:lvlText w:val="%5."/>
      <w:lvlJc w:val="left"/>
      <w:pPr>
        <w:ind w:left="3600" w:hanging="360"/>
      </w:pPr>
    </w:lvl>
    <w:lvl w:ilvl="5" w:tplc="9C726C3C" w:tentative="1">
      <w:start w:val="1"/>
      <w:numFmt w:val="lowerRoman"/>
      <w:lvlText w:val="%6."/>
      <w:lvlJc w:val="right"/>
      <w:pPr>
        <w:ind w:left="4320" w:hanging="180"/>
      </w:pPr>
    </w:lvl>
    <w:lvl w:ilvl="6" w:tplc="D4C660AA" w:tentative="1">
      <w:start w:val="1"/>
      <w:numFmt w:val="decimal"/>
      <w:lvlText w:val="%7."/>
      <w:lvlJc w:val="left"/>
      <w:pPr>
        <w:ind w:left="5040" w:hanging="360"/>
      </w:pPr>
    </w:lvl>
    <w:lvl w:ilvl="7" w:tplc="BA40B2A4" w:tentative="1">
      <w:start w:val="1"/>
      <w:numFmt w:val="lowerLetter"/>
      <w:lvlText w:val="%8."/>
      <w:lvlJc w:val="left"/>
      <w:pPr>
        <w:ind w:left="5760" w:hanging="360"/>
      </w:pPr>
    </w:lvl>
    <w:lvl w:ilvl="8" w:tplc="BF84BCC8"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849E9"/>
    <w:multiLevelType w:val="multilevel"/>
    <w:tmpl w:val="049E628C"/>
    <w:lvl w:ilvl="0">
      <w:start w:val="7"/>
      <w:numFmt w:val="decimal"/>
      <w:lvlText w:val="%1"/>
      <w:lvlJc w:val="left"/>
      <w:pPr>
        <w:ind w:left="384" w:hanging="384"/>
      </w:pPr>
      <w:rPr>
        <w:rFonts w:hint="default"/>
      </w:rPr>
    </w:lvl>
    <w:lvl w:ilvl="1">
      <w:start w:val="10"/>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D44C71"/>
    <w:multiLevelType w:val="hybridMultilevel"/>
    <w:tmpl w:val="B13CE670"/>
    <w:name w:val="seq123222"/>
    <w:lvl w:ilvl="0" w:tplc="1422A9D8">
      <w:start w:val="1"/>
      <w:numFmt w:val="lowerRoman"/>
      <w:lvlText w:val="%1)"/>
      <w:lvlJc w:val="left"/>
      <w:pPr>
        <w:tabs>
          <w:tab w:val="num" w:pos="2140"/>
        </w:tabs>
        <w:ind w:left="2140" w:hanging="360"/>
      </w:pPr>
      <w:rPr>
        <w:rFonts w:hint="default"/>
      </w:rPr>
    </w:lvl>
    <w:lvl w:ilvl="1" w:tplc="6B94AFA8" w:tentative="1">
      <w:start w:val="1"/>
      <w:numFmt w:val="lowerLetter"/>
      <w:lvlText w:val="%2."/>
      <w:lvlJc w:val="left"/>
      <w:pPr>
        <w:tabs>
          <w:tab w:val="num" w:pos="1780"/>
        </w:tabs>
        <w:ind w:left="1780" w:hanging="360"/>
      </w:pPr>
    </w:lvl>
    <w:lvl w:ilvl="2" w:tplc="5D002A5E" w:tentative="1">
      <w:start w:val="1"/>
      <w:numFmt w:val="lowerRoman"/>
      <w:lvlText w:val="%3."/>
      <w:lvlJc w:val="right"/>
      <w:pPr>
        <w:tabs>
          <w:tab w:val="num" w:pos="2500"/>
        </w:tabs>
        <w:ind w:left="2500" w:hanging="180"/>
      </w:pPr>
    </w:lvl>
    <w:lvl w:ilvl="3" w:tplc="CE3EABDE" w:tentative="1">
      <w:start w:val="1"/>
      <w:numFmt w:val="decimal"/>
      <w:lvlText w:val="%4."/>
      <w:lvlJc w:val="left"/>
      <w:pPr>
        <w:tabs>
          <w:tab w:val="num" w:pos="3220"/>
        </w:tabs>
        <w:ind w:left="3220" w:hanging="360"/>
      </w:pPr>
    </w:lvl>
    <w:lvl w:ilvl="4" w:tplc="F53CA5A8" w:tentative="1">
      <w:start w:val="1"/>
      <w:numFmt w:val="lowerLetter"/>
      <w:lvlText w:val="%5."/>
      <w:lvlJc w:val="left"/>
      <w:pPr>
        <w:tabs>
          <w:tab w:val="num" w:pos="3940"/>
        </w:tabs>
        <w:ind w:left="3940" w:hanging="360"/>
      </w:pPr>
    </w:lvl>
    <w:lvl w:ilvl="5" w:tplc="CABC4356" w:tentative="1">
      <w:start w:val="1"/>
      <w:numFmt w:val="lowerRoman"/>
      <w:lvlText w:val="%6."/>
      <w:lvlJc w:val="right"/>
      <w:pPr>
        <w:tabs>
          <w:tab w:val="num" w:pos="4660"/>
        </w:tabs>
        <w:ind w:left="4660" w:hanging="180"/>
      </w:pPr>
    </w:lvl>
    <w:lvl w:ilvl="6" w:tplc="B71AF09E" w:tentative="1">
      <w:start w:val="1"/>
      <w:numFmt w:val="decimal"/>
      <w:lvlText w:val="%7."/>
      <w:lvlJc w:val="left"/>
      <w:pPr>
        <w:tabs>
          <w:tab w:val="num" w:pos="5380"/>
        </w:tabs>
        <w:ind w:left="5380" w:hanging="360"/>
      </w:pPr>
    </w:lvl>
    <w:lvl w:ilvl="7" w:tplc="86585972" w:tentative="1">
      <w:start w:val="1"/>
      <w:numFmt w:val="lowerLetter"/>
      <w:lvlText w:val="%8."/>
      <w:lvlJc w:val="left"/>
      <w:pPr>
        <w:tabs>
          <w:tab w:val="num" w:pos="6100"/>
        </w:tabs>
        <w:ind w:left="6100" w:hanging="360"/>
      </w:pPr>
    </w:lvl>
    <w:lvl w:ilvl="8" w:tplc="E730D3C4" w:tentative="1">
      <w:start w:val="1"/>
      <w:numFmt w:val="lowerRoman"/>
      <w:lvlText w:val="%9."/>
      <w:lvlJc w:val="right"/>
      <w:pPr>
        <w:tabs>
          <w:tab w:val="num" w:pos="6820"/>
        </w:tabs>
        <w:ind w:left="6820" w:hanging="180"/>
      </w:pPr>
    </w:lvl>
  </w:abstractNum>
  <w:abstractNum w:abstractNumId="36"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E74164"/>
    <w:multiLevelType w:val="hybridMultilevel"/>
    <w:tmpl w:val="AA50588C"/>
    <w:lvl w:ilvl="0" w:tplc="BF883A42">
      <w:start w:val="1"/>
      <w:numFmt w:val="decimal"/>
      <w:lvlText w:val="%1."/>
      <w:lvlJc w:val="left"/>
      <w:pPr>
        <w:ind w:left="1638" w:hanging="360"/>
      </w:pPr>
      <w:rPr>
        <w:rFonts w:hint="default"/>
      </w:rPr>
    </w:lvl>
    <w:lvl w:ilvl="1" w:tplc="7A602C8C" w:tentative="1">
      <w:start w:val="1"/>
      <w:numFmt w:val="lowerLetter"/>
      <w:lvlText w:val="%2."/>
      <w:lvlJc w:val="left"/>
      <w:pPr>
        <w:ind w:left="2358" w:hanging="360"/>
      </w:pPr>
    </w:lvl>
    <w:lvl w:ilvl="2" w:tplc="50761476" w:tentative="1">
      <w:start w:val="1"/>
      <w:numFmt w:val="lowerRoman"/>
      <w:lvlText w:val="%3."/>
      <w:lvlJc w:val="right"/>
      <w:pPr>
        <w:ind w:left="3078" w:hanging="180"/>
      </w:pPr>
    </w:lvl>
    <w:lvl w:ilvl="3" w:tplc="74462898" w:tentative="1">
      <w:start w:val="1"/>
      <w:numFmt w:val="decimal"/>
      <w:lvlText w:val="%4."/>
      <w:lvlJc w:val="left"/>
      <w:pPr>
        <w:ind w:left="3798" w:hanging="360"/>
      </w:pPr>
    </w:lvl>
    <w:lvl w:ilvl="4" w:tplc="B8C0192A" w:tentative="1">
      <w:start w:val="1"/>
      <w:numFmt w:val="lowerLetter"/>
      <w:lvlText w:val="%5."/>
      <w:lvlJc w:val="left"/>
      <w:pPr>
        <w:ind w:left="4518" w:hanging="360"/>
      </w:pPr>
    </w:lvl>
    <w:lvl w:ilvl="5" w:tplc="AF6669EC" w:tentative="1">
      <w:start w:val="1"/>
      <w:numFmt w:val="lowerRoman"/>
      <w:lvlText w:val="%6."/>
      <w:lvlJc w:val="right"/>
      <w:pPr>
        <w:ind w:left="5238" w:hanging="180"/>
      </w:pPr>
    </w:lvl>
    <w:lvl w:ilvl="6" w:tplc="0B30A434" w:tentative="1">
      <w:start w:val="1"/>
      <w:numFmt w:val="decimal"/>
      <w:lvlText w:val="%7."/>
      <w:lvlJc w:val="left"/>
      <w:pPr>
        <w:ind w:left="5958" w:hanging="360"/>
      </w:pPr>
    </w:lvl>
    <w:lvl w:ilvl="7" w:tplc="08C24BA0" w:tentative="1">
      <w:start w:val="1"/>
      <w:numFmt w:val="lowerLetter"/>
      <w:lvlText w:val="%8."/>
      <w:lvlJc w:val="left"/>
      <w:pPr>
        <w:ind w:left="6678" w:hanging="360"/>
      </w:pPr>
    </w:lvl>
    <w:lvl w:ilvl="8" w:tplc="B88C5146" w:tentative="1">
      <w:start w:val="1"/>
      <w:numFmt w:val="lowerRoman"/>
      <w:lvlText w:val="%9."/>
      <w:lvlJc w:val="right"/>
      <w:pPr>
        <w:ind w:left="7398" w:hanging="180"/>
      </w:pPr>
    </w:lvl>
  </w:abstractNum>
  <w:abstractNum w:abstractNumId="45"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
  </w:num>
  <w:num w:numId="3">
    <w:abstractNumId w:val="50"/>
  </w:num>
  <w:num w:numId="4">
    <w:abstractNumId w:val="38"/>
  </w:num>
  <w:num w:numId="5">
    <w:abstractNumId w:val="12"/>
  </w:num>
  <w:num w:numId="6">
    <w:abstractNumId w:val="0"/>
  </w:num>
  <w:num w:numId="7">
    <w:abstractNumId w:val="41"/>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6"/>
  </w:num>
  <w:num w:numId="15">
    <w:abstractNumId w:val="20"/>
  </w:num>
  <w:num w:numId="16">
    <w:abstractNumId w:val="39"/>
  </w:num>
  <w:num w:numId="17">
    <w:abstractNumId w:val="16"/>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3"/>
  </w:num>
  <w:num w:numId="28">
    <w:abstractNumId w:val="27"/>
  </w:num>
  <w:num w:numId="29">
    <w:abstractNumId w:val="48"/>
  </w:num>
  <w:num w:numId="30">
    <w:abstractNumId w:val="11"/>
  </w:num>
  <w:num w:numId="31">
    <w:abstractNumId w:val="10"/>
  </w:num>
  <w:num w:numId="32">
    <w:abstractNumId w:val="40"/>
  </w:num>
  <w:num w:numId="33">
    <w:abstractNumId w:val="47"/>
  </w:num>
  <w:num w:numId="34">
    <w:abstractNumId w:val="34"/>
  </w:num>
  <w:num w:numId="35">
    <w:abstractNumId w:val="26"/>
  </w:num>
  <w:num w:numId="36">
    <w:abstractNumId w:val="5"/>
  </w:num>
  <w:num w:numId="37">
    <w:abstractNumId w:val="49"/>
  </w:num>
  <w:num w:numId="38">
    <w:abstractNumId w:val="32"/>
  </w:num>
  <w:num w:numId="39">
    <w:abstractNumId w:val="9"/>
  </w:num>
  <w:num w:numId="40">
    <w:abstractNumId w:val="24"/>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212F"/>
    <w:rsid w:val="00003DF9"/>
    <w:rsid w:val="00005762"/>
    <w:rsid w:val="00006E1D"/>
    <w:rsid w:val="00006F24"/>
    <w:rsid w:val="000079AD"/>
    <w:rsid w:val="00010A76"/>
    <w:rsid w:val="00011974"/>
    <w:rsid w:val="00011A99"/>
    <w:rsid w:val="00012516"/>
    <w:rsid w:val="000125D6"/>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5547"/>
    <w:rsid w:val="000455E2"/>
    <w:rsid w:val="000455FD"/>
    <w:rsid w:val="000467E7"/>
    <w:rsid w:val="000479AF"/>
    <w:rsid w:val="00050766"/>
    <w:rsid w:val="0005134F"/>
    <w:rsid w:val="00052545"/>
    <w:rsid w:val="00052772"/>
    <w:rsid w:val="00052E7D"/>
    <w:rsid w:val="0005333B"/>
    <w:rsid w:val="000541D6"/>
    <w:rsid w:val="00054DAB"/>
    <w:rsid w:val="00055072"/>
    <w:rsid w:val="0005539B"/>
    <w:rsid w:val="00055B0A"/>
    <w:rsid w:val="00056F0B"/>
    <w:rsid w:val="00057CE4"/>
    <w:rsid w:val="0006101B"/>
    <w:rsid w:val="000612A2"/>
    <w:rsid w:val="00063D23"/>
    <w:rsid w:val="0006700F"/>
    <w:rsid w:val="00070627"/>
    <w:rsid w:val="00071ACD"/>
    <w:rsid w:val="00072FD0"/>
    <w:rsid w:val="00074456"/>
    <w:rsid w:val="00075234"/>
    <w:rsid w:val="00075918"/>
    <w:rsid w:val="00075B15"/>
    <w:rsid w:val="00076DFA"/>
    <w:rsid w:val="00077A65"/>
    <w:rsid w:val="00080F23"/>
    <w:rsid w:val="00081699"/>
    <w:rsid w:val="00081982"/>
    <w:rsid w:val="00082115"/>
    <w:rsid w:val="0008353B"/>
    <w:rsid w:val="0008512E"/>
    <w:rsid w:val="0008560E"/>
    <w:rsid w:val="000862E8"/>
    <w:rsid w:val="00086678"/>
    <w:rsid w:val="000901D3"/>
    <w:rsid w:val="0009133F"/>
    <w:rsid w:val="000913AA"/>
    <w:rsid w:val="00091951"/>
    <w:rsid w:val="000934B6"/>
    <w:rsid w:val="00093863"/>
    <w:rsid w:val="000939CA"/>
    <w:rsid w:val="000945C4"/>
    <w:rsid w:val="00094649"/>
    <w:rsid w:val="000950E5"/>
    <w:rsid w:val="0009552F"/>
    <w:rsid w:val="000961EC"/>
    <w:rsid w:val="000964C1"/>
    <w:rsid w:val="0009676F"/>
    <w:rsid w:val="00096DCB"/>
    <w:rsid w:val="000971C7"/>
    <w:rsid w:val="00097206"/>
    <w:rsid w:val="00097DDF"/>
    <w:rsid w:val="000A08A1"/>
    <w:rsid w:val="000A1B92"/>
    <w:rsid w:val="000A3279"/>
    <w:rsid w:val="000A6986"/>
    <w:rsid w:val="000A73A4"/>
    <w:rsid w:val="000B2347"/>
    <w:rsid w:val="000B3069"/>
    <w:rsid w:val="000B4078"/>
    <w:rsid w:val="000B558E"/>
    <w:rsid w:val="000B55AA"/>
    <w:rsid w:val="000B59E2"/>
    <w:rsid w:val="000B7197"/>
    <w:rsid w:val="000B7B37"/>
    <w:rsid w:val="000B7CB8"/>
    <w:rsid w:val="000C0F29"/>
    <w:rsid w:val="000C2802"/>
    <w:rsid w:val="000C4D82"/>
    <w:rsid w:val="000D141E"/>
    <w:rsid w:val="000D1AF9"/>
    <w:rsid w:val="000D1EB4"/>
    <w:rsid w:val="000D3B2E"/>
    <w:rsid w:val="000D4279"/>
    <w:rsid w:val="000D44C5"/>
    <w:rsid w:val="000D4DDC"/>
    <w:rsid w:val="000D699C"/>
    <w:rsid w:val="000D6B91"/>
    <w:rsid w:val="000D7742"/>
    <w:rsid w:val="000D7E99"/>
    <w:rsid w:val="000E1BF1"/>
    <w:rsid w:val="000E25D1"/>
    <w:rsid w:val="000E3905"/>
    <w:rsid w:val="000E5F94"/>
    <w:rsid w:val="000E6474"/>
    <w:rsid w:val="000F032B"/>
    <w:rsid w:val="000F0586"/>
    <w:rsid w:val="000F0A35"/>
    <w:rsid w:val="000F0E5A"/>
    <w:rsid w:val="000F1192"/>
    <w:rsid w:val="000F131A"/>
    <w:rsid w:val="000F1361"/>
    <w:rsid w:val="000F3217"/>
    <w:rsid w:val="000F3308"/>
    <w:rsid w:val="000F4832"/>
    <w:rsid w:val="000F549E"/>
    <w:rsid w:val="000F60F2"/>
    <w:rsid w:val="000F6607"/>
    <w:rsid w:val="0010047C"/>
    <w:rsid w:val="00101477"/>
    <w:rsid w:val="00101A63"/>
    <w:rsid w:val="001056DE"/>
    <w:rsid w:val="001066BC"/>
    <w:rsid w:val="00107D92"/>
    <w:rsid w:val="00111EB9"/>
    <w:rsid w:val="00112348"/>
    <w:rsid w:val="00114BB5"/>
    <w:rsid w:val="00114CEB"/>
    <w:rsid w:val="00115486"/>
    <w:rsid w:val="00117CE5"/>
    <w:rsid w:val="001208CC"/>
    <w:rsid w:val="00121B57"/>
    <w:rsid w:val="001227DA"/>
    <w:rsid w:val="00124FD7"/>
    <w:rsid w:val="00125C43"/>
    <w:rsid w:val="001266EB"/>
    <w:rsid w:val="00126BF0"/>
    <w:rsid w:val="00130AFC"/>
    <w:rsid w:val="00133A43"/>
    <w:rsid w:val="00136005"/>
    <w:rsid w:val="00136B4F"/>
    <w:rsid w:val="001372EE"/>
    <w:rsid w:val="00142973"/>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0616"/>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4CE"/>
    <w:rsid w:val="001A204A"/>
    <w:rsid w:val="001A215A"/>
    <w:rsid w:val="001A289E"/>
    <w:rsid w:val="001A2E1E"/>
    <w:rsid w:val="001A426E"/>
    <w:rsid w:val="001A4CF5"/>
    <w:rsid w:val="001A4D27"/>
    <w:rsid w:val="001A4E48"/>
    <w:rsid w:val="001A6AD4"/>
    <w:rsid w:val="001A6D78"/>
    <w:rsid w:val="001A77FC"/>
    <w:rsid w:val="001B01C8"/>
    <w:rsid w:val="001B2E05"/>
    <w:rsid w:val="001B311A"/>
    <w:rsid w:val="001B3DA1"/>
    <w:rsid w:val="001B3F99"/>
    <w:rsid w:val="001B6325"/>
    <w:rsid w:val="001B6515"/>
    <w:rsid w:val="001B6D67"/>
    <w:rsid w:val="001B6FB4"/>
    <w:rsid w:val="001B7325"/>
    <w:rsid w:val="001B78C5"/>
    <w:rsid w:val="001B7D20"/>
    <w:rsid w:val="001B7E9F"/>
    <w:rsid w:val="001C06F3"/>
    <w:rsid w:val="001C0796"/>
    <w:rsid w:val="001C0BA1"/>
    <w:rsid w:val="001C0CCF"/>
    <w:rsid w:val="001C1298"/>
    <w:rsid w:val="001C1E3A"/>
    <w:rsid w:val="001C222B"/>
    <w:rsid w:val="001C23B4"/>
    <w:rsid w:val="001C296A"/>
    <w:rsid w:val="001C2CFF"/>
    <w:rsid w:val="001C37B3"/>
    <w:rsid w:val="001C3A25"/>
    <w:rsid w:val="001D0CD1"/>
    <w:rsid w:val="001D0EFB"/>
    <w:rsid w:val="001D14A3"/>
    <w:rsid w:val="001D3344"/>
    <w:rsid w:val="001D3F5C"/>
    <w:rsid w:val="001D61F4"/>
    <w:rsid w:val="001D6F55"/>
    <w:rsid w:val="001E0001"/>
    <w:rsid w:val="001E0635"/>
    <w:rsid w:val="001E146C"/>
    <w:rsid w:val="001E3BEC"/>
    <w:rsid w:val="001E5E86"/>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27D9A"/>
    <w:rsid w:val="002300B1"/>
    <w:rsid w:val="00230E24"/>
    <w:rsid w:val="00231B03"/>
    <w:rsid w:val="00234525"/>
    <w:rsid w:val="002346AB"/>
    <w:rsid w:val="002357BA"/>
    <w:rsid w:val="002358EC"/>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843"/>
    <w:rsid w:val="00251E6F"/>
    <w:rsid w:val="00252454"/>
    <w:rsid w:val="00252575"/>
    <w:rsid w:val="00255F4E"/>
    <w:rsid w:val="00256DCA"/>
    <w:rsid w:val="002603E7"/>
    <w:rsid w:val="00260F7E"/>
    <w:rsid w:val="002610D0"/>
    <w:rsid w:val="00263419"/>
    <w:rsid w:val="00265AE9"/>
    <w:rsid w:val="00266492"/>
    <w:rsid w:val="00266828"/>
    <w:rsid w:val="00266C38"/>
    <w:rsid w:val="002672BB"/>
    <w:rsid w:val="00271BE8"/>
    <w:rsid w:val="002732C9"/>
    <w:rsid w:val="00273ACC"/>
    <w:rsid w:val="002769BB"/>
    <w:rsid w:val="00276D8E"/>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5CD"/>
    <w:rsid w:val="002A6C4A"/>
    <w:rsid w:val="002A6F7B"/>
    <w:rsid w:val="002A7803"/>
    <w:rsid w:val="002B02B9"/>
    <w:rsid w:val="002B131F"/>
    <w:rsid w:val="002B1631"/>
    <w:rsid w:val="002B1EA3"/>
    <w:rsid w:val="002B2C3C"/>
    <w:rsid w:val="002B3084"/>
    <w:rsid w:val="002B4CD2"/>
    <w:rsid w:val="002B599E"/>
    <w:rsid w:val="002C066A"/>
    <w:rsid w:val="002C0EDD"/>
    <w:rsid w:val="002C2CCD"/>
    <w:rsid w:val="002C679B"/>
    <w:rsid w:val="002C7156"/>
    <w:rsid w:val="002C7A3E"/>
    <w:rsid w:val="002D0537"/>
    <w:rsid w:val="002D0B9C"/>
    <w:rsid w:val="002D0D27"/>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61A2"/>
    <w:rsid w:val="002E7B22"/>
    <w:rsid w:val="002E7D01"/>
    <w:rsid w:val="002F2E8B"/>
    <w:rsid w:val="002F3B57"/>
    <w:rsid w:val="002F4CAE"/>
    <w:rsid w:val="002F51D5"/>
    <w:rsid w:val="002F535A"/>
    <w:rsid w:val="002F538E"/>
    <w:rsid w:val="002F58AF"/>
    <w:rsid w:val="002F5C17"/>
    <w:rsid w:val="002F75E7"/>
    <w:rsid w:val="003002DA"/>
    <w:rsid w:val="00300648"/>
    <w:rsid w:val="003019C3"/>
    <w:rsid w:val="00301CE3"/>
    <w:rsid w:val="0030215A"/>
    <w:rsid w:val="00303308"/>
    <w:rsid w:val="00303A6D"/>
    <w:rsid w:val="00304CB0"/>
    <w:rsid w:val="00307A07"/>
    <w:rsid w:val="00307A64"/>
    <w:rsid w:val="00313463"/>
    <w:rsid w:val="00313731"/>
    <w:rsid w:val="00314C97"/>
    <w:rsid w:val="0031535D"/>
    <w:rsid w:val="00315406"/>
    <w:rsid w:val="003158CD"/>
    <w:rsid w:val="00315C6F"/>
    <w:rsid w:val="00315E78"/>
    <w:rsid w:val="00315FB1"/>
    <w:rsid w:val="003162D2"/>
    <w:rsid w:val="00316A32"/>
    <w:rsid w:val="003170A0"/>
    <w:rsid w:val="00317528"/>
    <w:rsid w:val="00317BDD"/>
    <w:rsid w:val="00321956"/>
    <w:rsid w:val="00322D2E"/>
    <w:rsid w:val="003231B7"/>
    <w:rsid w:val="0032507C"/>
    <w:rsid w:val="00325CDA"/>
    <w:rsid w:val="00325FA4"/>
    <w:rsid w:val="0032793D"/>
    <w:rsid w:val="00327B8A"/>
    <w:rsid w:val="003317E4"/>
    <w:rsid w:val="00334A56"/>
    <w:rsid w:val="00334C91"/>
    <w:rsid w:val="00334F39"/>
    <w:rsid w:val="003354E1"/>
    <w:rsid w:val="00335F62"/>
    <w:rsid w:val="0033656E"/>
    <w:rsid w:val="00337F33"/>
    <w:rsid w:val="00342325"/>
    <w:rsid w:val="003430EB"/>
    <w:rsid w:val="00343355"/>
    <w:rsid w:val="00343D63"/>
    <w:rsid w:val="00344989"/>
    <w:rsid w:val="003500C6"/>
    <w:rsid w:val="00352073"/>
    <w:rsid w:val="00352590"/>
    <w:rsid w:val="003532EB"/>
    <w:rsid w:val="00353EF6"/>
    <w:rsid w:val="00356C65"/>
    <w:rsid w:val="00357A46"/>
    <w:rsid w:val="00362506"/>
    <w:rsid w:val="003650FD"/>
    <w:rsid w:val="003654F5"/>
    <w:rsid w:val="00366CD1"/>
    <w:rsid w:val="0037019D"/>
    <w:rsid w:val="00370914"/>
    <w:rsid w:val="00371943"/>
    <w:rsid w:val="00371C09"/>
    <w:rsid w:val="00373724"/>
    <w:rsid w:val="00373B2C"/>
    <w:rsid w:val="00374BBA"/>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24DD"/>
    <w:rsid w:val="003C36EC"/>
    <w:rsid w:val="003C3EFD"/>
    <w:rsid w:val="003C4D97"/>
    <w:rsid w:val="003D1645"/>
    <w:rsid w:val="003D2AE9"/>
    <w:rsid w:val="003D4040"/>
    <w:rsid w:val="003D4B7A"/>
    <w:rsid w:val="003D67C6"/>
    <w:rsid w:val="003D6F46"/>
    <w:rsid w:val="003D706C"/>
    <w:rsid w:val="003D72B0"/>
    <w:rsid w:val="003D7386"/>
    <w:rsid w:val="003D758A"/>
    <w:rsid w:val="003D7FD3"/>
    <w:rsid w:val="003E049B"/>
    <w:rsid w:val="003E7BBD"/>
    <w:rsid w:val="003F02D3"/>
    <w:rsid w:val="003F076E"/>
    <w:rsid w:val="003F07B8"/>
    <w:rsid w:val="003F0C79"/>
    <w:rsid w:val="003F1445"/>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07FC4"/>
    <w:rsid w:val="00410DB5"/>
    <w:rsid w:val="00413A17"/>
    <w:rsid w:val="00413C24"/>
    <w:rsid w:val="00413EFF"/>
    <w:rsid w:val="00414B20"/>
    <w:rsid w:val="004155AB"/>
    <w:rsid w:val="00416259"/>
    <w:rsid w:val="00416729"/>
    <w:rsid w:val="00416D23"/>
    <w:rsid w:val="004201E5"/>
    <w:rsid w:val="00421116"/>
    <w:rsid w:val="00421716"/>
    <w:rsid w:val="00421FCD"/>
    <w:rsid w:val="00421FF5"/>
    <w:rsid w:val="004233B8"/>
    <w:rsid w:val="00423BA5"/>
    <w:rsid w:val="00423EB1"/>
    <w:rsid w:val="00424B40"/>
    <w:rsid w:val="00424D11"/>
    <w:rsid w:val="00424E4F"/>
    <w:rsid w:val="00425097"/>
    <w:rsid w:val="00425122"/>
    <w:rsid w:val="00430502"/>
    <w:rsid w:val="0043160E"/>
    <w:rsid w:val="004320F0"/>
    <w:rsid w:val="00432DD5"/>
    <w:rsid w:val="004334EC"/>
    <w:rsid w:val="004343A3"/>
    <w:rsid w:val="00434BAD"/>
    <w:rsid w:val="004356D2"/>
    <w:rsid w:val="00436553"/>
    <w:rsid w:val="00436BD3"/>
    <w:rsid w:val="004371F2"/>
    <w:rsid w:val="004403B1"/>
    <w:rsid w:val="004405A2"/>
    <w:rsid w:val="00440A02"/>
    <w:rsid w:val="00441908"/>
    <w:rsid w:val="00441E3A"/>
    <w:rsid w:val="00443CDA"/>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1B7F"/>
    <w:rsid w:val="00463893"/>
    <w:rsid w:val="00463C98"/>
    <w:rsid w:val="004677A0"/>
    <w:rsid w:val="00467DA2"/>
    <w:rsid w:val="004704ED"/>
    <w:rsid w:val="004706D1"/>
    <w:rsid w:val="00470D5E"/>
    <w:rsid w:val="00470F0F"/>
    <w:rsid w:val="00471B16"/>
    <w:rsid w:val="00472A40"/>
    <w:rsid w:val="00473393"/>
    <w:rsid w:val="00473766"/>
    <w:rsid w:val="00473D67"/>
    <w:rsid w:val="004779E5"/>
    <w:rsid w:val="004804E1"/>
    <w:rsid w:val="00480630"/>
    <w:rsid w:val="00480D13"/>
    <w:rsid w:val="0048136A"/>
    <w:rsid w:val="00481935"/>
    <w:rsid w:val="00481CBA"/>
    <w:rsid w:val="0048452C"/>
    <w:rsid w:val="004857CE"/>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6695"/>
    <w:rsid w:val="004D6917"/>
    <w:rsid w:val="004D7242"/>
    <w:rsid w:val="004D7CE2"/>
    <w:rsid w:val="004E0069"/>
    <w:rsid w:val="004E0528"/>
    <w:rsid w:val="004E1D6B"/>
    <w:rsid w:val="004E1E16"/>
    <w:rsid w:val="004E2835"/>
    <w:rsid w:val="004E3BEC"/>
    <w:rsid w:val="004E431E"/>
    <w:rsid w:val="004E4ABC"/>
    <w:rsid w:val="004E4AFA"/>
    <w:rsid w:val="004E76F4"/>
    <w:rsid w:val="004F14BD"/>
    <w:rsid w:val="004F27F2"/>
    <w:rsid w:val="004F320F"/>
    <w:rsid w:val="004F34E9"/>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20977"/>
    <w:rsid w:val="00522A22"/>
    <w:rsid w:val="0052432D"/>
    <w:rsid w:val="00531A3E"/>
    <w:rsid w:val="00531BAB"/>
    <w:rsid w:val="005325EF"/>
    <w:rsid w:val="005326D5"/>
    <w:rsid w:val="00533B10"/>
    <w:rsid w:val="00534198"/>
    <w:rsid w:val="00534381"/>
    <w:rsid w:val="00535D93"/>
    <w:rsid w:val="00537677"/>
    <w:rsid w:val="00537951"/>
    <w:rsid w:val="00540B8B"/>
    <w:rsid w:val="00540C61"/>
    <w:rsid w:val="00541437"/>
    <w:rsid w:val="005417F1"/>
    <w:rsid w:val="00541A1F"/>
    <w:rsid w:val="00541D40"/>
    <w:rsid w:val="005420A9"/>
    <w:rsid w:val="00542F62"/>
    <w:rsid w:val="00544270"/>
    <w:rsid w:val="00544EA6"/>
    <w:rsid w:val="00545BD5"/>
    <w:rsid w:val="00546F83"/>
    <w:rsid w:val="005477A2"/>
    <w:rsid w:val="005505CD"/>
    <w:rsid w:val="005535D8"/>
    <w:rsid w:val="00554B3E"/>
    <w:rsid w:val="00556054"/>
    <w:rsid w:val="0055607A"/>
    <w:rsid w:val="0055675B"/>
    <w:rsid w:val="00562A40"/>
    <w:rsid w:val="00562CB3"/>
    <w:rsid w:val="00564894"/>
    <w:rsid w:val="00564D3B"/>
    <w:rsid w:val="00565560"/>
    <w:rsid w:val="005658E4"/>
    <w:rsid w:val="0056718A"/>
    <w:rsid w:val="00567EA8"/>
    <w:rsid w:val="0057007B"/>
    <w:rsid w:val="005723A3"/>
    <w:rsid w:val="005725A9"/>
    <w:rsid w:val="00575B0C"/>
    <w:rsid w:val="00576DC5"/>
    <w:rsid w:val="00580299"/>
    <w:rsid w:val="00581A48"/>
    <w:rsid w:val="00581DEA"/>
    <w:rsid w:val="0058242B"/>
    <w:rsid w:val="00582A29"/>
    <w:rsid w:val="00584F7E"/>
    <w:rsid w:val="005857D8"/>
    <w:rsid w:val="00587886"/>
    <w:rsid w:val="00587BC4"/>
    <w:rsid w:val="00590747"/>
    <w:rsid w:val="005914C4"/>
    <w:rsid w:val="00592C4B"/>
    <w:rsid w:val="00595246"/>
    <w:rsid w:val="005953B0"/>
    <w:rsid w:val="0059585C"/>
    <w:rsid w:val="0059606D"/>
    <w:rsid w:val="00596FB5"/>
    <w:rsid w:val="005977F1"/>
    <w:rsid w:val="005A024D"/>
    <w:rsid w:val="005A0423"/>
    <w:rsid w:val="005A0BEF"/>
    <w:rsid w:val="005A0F87"/>
    <w:rsid w:val="005A10B2"/>
    <w:rsid w:val="005A10B4"/>
    <w:rsid w:val="005A19E0"/>
    <w:rsid w:val="005A1C88"/>
    <w:rsid w:val="005A2340"/>
    <w:rsid w:val="005A3037"/>
    <w:rsid w:val="005A52DA"/>
    <w:rsid w:val="005A65C6"/>
    <w:rsid w:val="005B1DBB"/>
    <w:rsid w:val="005B28C6"/>
    <w:rsid w:val="005B4BCC"/>
    <w:rsid w:val="005B7F65"/>
    <w:rsid w:val="005C453A"/>
    <w:rsid w:val="005C6A76"/>
    <w:rsid w:val="005D0204"/>
    <w:rsid w:val="005D10AB"/>
    <w:rsid w:val="005D1C5E"/>
    <w:rsid w:val="005D1D32"/>
    <w:rsid w:val="005D7682"/>
    <w:rsid w:val="005E0ED6"/>
    <w:rsid w:val="005E0F9C"/>
    <w:rsid w:val="005E188C"/>
    <w:rsid w:val="005E19FC"/>
    <w:rsid w:val="005E1EF6"/>
    <w:rsid w:val="005E2E25"/>
    <w:rsid w:val="005E40FB"/>
    <w:rsid w:val="005E630C"/>
    <w:rsid w:val="005E6FB6"/>
    <w:rsid w:val="005E727E"/>
    <w:rsid w:val="005F0491"/>
    <w:rsid w:val="005F17D6"/>
    <w:rsid w:val="005F1BFE"/>
    <w:rsid w:val="005F1E4B"/>
    <w:rsid w:val="005F2B52"/>
    <w:rsid w:val="005F479B"/>
    <w:rsid w:val="005F4AFC"/>
    <w:rsid w:val="005F6150"/>
    <w:rsid w:val="005F66DC"/>
    <w:rsid w:val="005F6A60"/>
    <w:rsid w:val="005F6AAF"/>
    <w:rsid w:val="005F6B5C"/>
    <w:rsid w:val="00600649"/>
    <w:rsid w:val="006016CD"/>
    <w:rsid w:val="00601CD9"/>
    <w:rsid w:val="00602EBA"/>
    <w:rsid w:val="006042CD"/>
    <w:rsid w:val="0060444D"/>
    <w:rsid w:val="00607307"/>
    <w:rsid w:val="0060741E"/>
    <w:rsid w:val="00607866"/>
    <w:rsid w:val="006078BB"/>
    <w:rsid w:val="0061036A"/>
    <w:rsid w:val="006107AA"/>
    <w:rsid w:val="00614371"/>
    <w:rsid w:val="006147B0"/>
    <w:rsid w:val="0061503C"/>
    <w:rsid w:val="006168A3"/>
    <w:rsid w:val="00616B2F"/>
    <w:rsid w:val="00616D54"/>
    <w:rsid w:val="00620482"/>
    <w:rsid w:val="00621733"/>
    <w:rsid w:val="0062569F"/>
    <w:rsid w:val="00627800"/>
    <w:rsid w:val="00630A7D"/>
    <w:rsid w:val="00631432"/>
    <w:rsid w:val="00632CBC"/>
    <w:rsid w:val="006330B5"/>
    <w:rsid w:val="0063583E"/>
    <w:rsid w:val="006375F1"/>
    <w:rsid w:val="00642B52"/>
    <w:rsid w:val="00643A3C"/>
    <w:rsid w:val="00644462"/>
    <w:rsid w:val="00644574"/>
    <w:rsid w:val="006450CB"/>
    <w:rsid w:val="00646648"/>
    <w:rsid w:val="00647D71"/>
    <w:rsid w:val="0065146E"/>
    <w:rsid w:val="00652332"/>
    <w:rsid w:val="00653F4D"/>
    <w:rsid w:val="0065502E"/>
    <w:rsid w:val="0065551D"/>
    <w:rsid w:val="00656349"/>
    <w:rsid w:val="00657486"/>
    <w:rsid w:val="0066039D"/>
    <w:rsid w:val="006603C7"/>
    <w:rsid w:val="00660463"/>
    <w:rsid w:val="00661084"/>
    <w:rsid w:val="0066122A"/>
    <w:rsid w:val="00661517"/>
    <w:rsid w:val="00661844"/>
    <w:rsid w:val="00661D89"/>
    <w:rsid w:val="00662CB8"/>
    <w:rsid w:val="00662EB6"/>
    <w:rsid w:val="006633C8"/>
    <w:rsid w:val="00663E91"/>
    <w:rsid w:val="00664ED4"/>
    <w:rsid w:val="00664FD9"/>
    <w:rsid w:val="006657D0"/>
    <w:rsid w:val="00665D91"/>
    <w:rsid w:val="006710E5"/>
    <w:rsid w:val="006724C3"/>
    <w:rsid w:val="00673CD6"/>
    <w:rsid w:val="00674C99"/>
    <w:rsid w:val="006767D8"/>
    <w:rsid w:val="00676875"/>
    <w:rsid w:val="00676AFB"/>
    <w:rsid w:val="006803C2"/>
    <w:rsid w:val="00680F50"/>
    <w:rsid w:val="00681481"/>
    <w:rsid w:val="00683399"/>
    <w:rsid w:val="00684299"/>
    <w:rsid w:val="00684B4E"/>
    <w:rsid w:val="00684E9D"/>
    <w:rsid w:val="0068607E"/>
    <w:rsid w:val="006876DE"/>
    <w:rsid w:val="006904FF"/>
    <w:rsid w:val="00690D45"/>
    <w:rsid w:val="00691099"/>
    <w:rsid w:val="006928B3"/>
    <w:rsid w:val="00693CB0"/>
    <w:rsid w:val="00694F00"/>
    <w:rsid w:val="006956E8"/>
    <w:rsid w:val="00696328"/>
    <w:rsid w:val="006A3DFC"/>
    <w:rsid w:val="006A7131"/>
    <w:rsid w:val="006A776E"/>
    <w:rsid w:val="006B0280"/>
    <w:rsid w:val="006B1352"/>
    <w:rsid w:val="006B26C6"/>
    <w:rsid w:val="006B2FDC"/>
    <w:rsid w:val="006B4002"/>
    <w:rsid w:val="006B5377"/>
    <w:rsid w:val="006B76F5"/>
    <w:rsid w:val="006B7861"/>
    <w:rsid w:val="006C2568"/>
    <w:rsid w:val="006C349A"/>
    <w:rsid w:val="006C597A"/>
    <w:rsid w:val="006C6431"/>
    <w:rsid w:val="006C7253"/>
    <w:rsid w:val="006C7FE8"/>
    <w:rsid w:val="006D0C18"/>
    <w:rsid w:val="006D1449"/>
    <w:rsid w:val="006D32AB"/>
    <w:rsid w:val="006D3605"/>
    <w:rsid w:val="006D3B23"/>
    <w:rsid w:val="006D4D50"/>
    <w:rsid w:val="006D5864"/>
    <w:rsid w:val="006D603E"/>
    <w:rsid w:val="006D6463"/>
    <w:rsid w:val="006D6EF0"/>
    <w:rsid w:val="006D79E5"/>
    <w:rsid w:val="006E079B"/>
    <w:rsid w:val="006E2F37"/>
    <w:rsid w:val="006E314B"/>
    <w:rsid w:val="006E43C1"/>
    <w:rsid w:val="006E4E98"/>
    <w:rsid w:val="006E56FD"/>
    <w:rsid w:val="006E60FE"/>
    <w:rsid w:val="006E740C"/>
    <w:rsid w:val="006E776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117F"/>
    <w:rsid w:val="0071216A"/>
    <w:rsid w:val="0071638F"/>
    <w:rsid w:val="007172C8"/>
    <w:rsid w:val="007226E2"/>
    <w:rsid w:val="00722938"/>
    <w:rsid w:val="0072410D"/>
    <w:rsid w:val="00724B17"/>
    <w:rsid w:val="00725CA3"/>
    <w:rsid w:val="007271C2"/>
    <w:rsid w:val="007275F0"/>
    <w:rsid w:val="0072789F"/>
    <w:rsid w:val="00730066"/>
    <w:rsid w:val="00731024"/>
    <w:rsid w:val="00732F88"/>
    <w:rsid w:val="00733295"/>
    <w:rsid w:val="00734780"/>
    <w:rsid w:val="0073572F"/>
    <w:rsid w:val="00736367"/>
    <w:rsid w:val="0074131C"/>
    <w:rsid w:val="007416BE"/>
    <w:rsid w:val="00747B70"/>
    <w:rsid w:val="0075078C"/>
    <w:rsid w:val="00751513"/>
    <w:rsid w:val="00751813"/>
    <w:rsid w:val="00751FED"/>
    <w:rsid w:val="00753428"/>
    <w:rsid w:val="007539DA"/>
    <w:rsid w:val="007539F6"/>
    <w:rsid w:val="007540C3"/>
    <w:rsid w:val="00755470"/>
    <w:rsid w:val="00757E32"/>
    <w:rsid w:val="00761529"/>
    <w:rsid w:val="00762047"/>
    <w:rsid w:val="00762184"/>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91A"/>
    <w:rsid w:val="00796B3F"/>
    <w:rsid w:val="007979A9"/>
    <w:rsid w:val="007A12A0"/>
    <w:rsid w:val="007A1B1F"/>
    <w:rsid w:val="007A28C4"/>
    <w:rsid w:val="007A291F"/>
    <w:rsid w:val="007A2E6C"/>
    <w:rsid w:val="007A3001"/>
    <w:rsid w:val="007A3F7B"/>
    <w:rsid w:val="007A459C"/>
    <w:rsid w:val="007A50C2"/>
    <w:rsid w:val="007A5117"/>
    <w:rsid w:val="007A5655"/>
    <w:rsid w:val="007A6255"/>
    <w:rsid w:val="007A69CD"/>
    <w:rsid w:val="007A6D06"/>
    <w:rsid w:val="007A7358"/>
    <w:rsid w:val="007B29B5"/>
    <w:rsid w:val="007B3A51"/>
    <w:rsid w:val="007B4654"/>
    <w:rsid w:val="007B5465"/>
    <w:rsid w:val="007B69B5"/>
    <w:rsid w:val="007C0393"/>
    <w:rsid w:val="007C103E"/>
    <w:rsid w:val="007C157B"/>
    <w:rsid w:val="007C2130"/>
    <w:rsid w:val="007C2461"/>
    <w:rsid w:val="007C258E"/>
    <w:rsid w:val="007C3295"/>
    <w:rsid w:val="007C3469"/>
    <w:rsid w:val="007C39CD"/>
    <w:rsid w:val="007C4DF8"/>
    <w:rsid w:val="007C5060"/>
    <w:rsid w:val="007C5086"/>
    <w:rsid w:val="007C5A79"/>
    <w:rsid w:val="007C746D"/>
    <w:rsid w:val="007D054B"/>
    <w:rsid w:val="007D182C"/>
    <w:rsid w:val="007D423E"/>
    <w:rsid w:val="007D4391"/>
    <w:rsid w:val="007D600F"/>
    <w:rsid w:val="007D67BE"/>
    <w:rsid w:val="007D7216"/>
    <w:rsid w:val="007D7B3A"/>
    <w:rsid w:val="007E0395"/>
    <w:rsid w:val="007E091F"/>
    <w:rsid w:val="007E0E71"/>
    <w:rsid w:val="007E1720"/>
    <w:rsid w:val="007E3BDF"/>
    <w:rsid w:val="007E6B13"/>
    <w:rsid w:val="007E71A6"/>
    <w:rsid w:val="007E7388"/>
    <w:rsid w:val="007F1ADA"/>
    <w:rsid w:val="007F20F4"/>
    <w:rsid w:val="007F28D7"/>
    <w:rsid w:val="007F2B11"/>
    <w:rsid w:val="007F4231"/>
    <w:rsid w:val="007F4323"/>
    <w:rsid w:val="007F52BE"/>
    <w:rsid w:val="007F6F84"/>
    <w:rsid w:val="007F742B"/>
    <w:rsid w:val="007F7A98"/>
    <w:rsid w:val="008004BA"/>
    <w:rsid w:val="00800CAB"/>
    <w:rsid w:val="008026B9"/>
    <w:rsid w:val="00804802"/>
    <w:rsid w:val="00804A56"/>
    <w:rsid w:val="00807002"/>
    <w:rsid w:val="00807A6C"/>
    <w:rsid w:val="008108B9"/>
    <w:rsid w:val="00811075"/>
    <w:rsid w:val="00812589"/>
    <w:rsid w:val="0081394E"/>
    <w:rsid w:val="00813DE9"/>
    <w:rsid w:val="008145E3"/>
    <w:rsid w:val="00814CA3"/>
    <w:rsid w:val="00814DF2"/>
    <w:rsid w:val="00815C48"/>
    <w:rsid w:val="00815EA0"/>
    <w:rsid w:val="00816358"/>
    <w:rsid w:val="00816F09"/>
    <w:rsid w:val="008202DD"/>
    <w:rsid w:val="00820A54"/>
    <w:rsid w:val="00821849"/>
    <w:rsid w:val="008220B4"/>
    <w:rsid w:val="00822324"/>
    <w:rsid w:val="00822B20"/>
    <w:rsid w:val="00822EE3"/>
    <w:rsid w:val="00823F27"/>
    <w:rsid w:val="00823FB3"/>
    <w:rsid w:val="008242B7"/>
    <w:rsid w:val="008243A7"/>
    <w:rsid w:val="00825C8F"/>
    <w:rsid w:val="00827498"/>
    <w:rsid w:val="008276AD"/>
    <w:rsid w:val="0083095D"/>
    <w:rsid w:val="00830FE7"/>
    <w:rsid w:val="00832352"/>
    <w:rsid w:val="00834A6C"/>
    <w:rsid w:val="00836765"/>
    <w:rsid w:val="00840B1D"/>
    <w:rsid w:val="00840B3D"/>
    <w:rsid w:val="008416A7"/>
    <w:rsid w:val="008416DD"/>
    <w:rsid w:val="00842907"/>
    <w:rsid w:val="0084412E"/>
    <w:rsid w:val="00844BDB"/>
    <w:rsid w:val="008451DB"/>
    <w:rsid w:val="008503EB"/>
    <w:rsid w:val="00850A49"/>
    <w:rsid w:val="00850E57"/>
    <w:rsid w:val="00850FB4"/>
    <w:rsid w:val="0085181D"/>
    <w:rsid w:val="00851C0B"/>
    <w:rsid w:val="00851DFF"/>
    <w:rsid w:val="00851FA1"/>
    <w:rsid w:val="00852FDA"/>
    <w:rsid w:val="00853B23"/>
    <w:rsid w:val="0085451E"/>
    <w:rsid w:val="008545CC"/>
    <w:rsid w:val="008550BA"/>
    <w:rsid w:val="008558DE"/>
    <w:rsid w:val="008564C1"/>
    <w:rsid w:val="00856690"/>
    <w:rsid w:val="00860492"/>
    <w:rsid w:val="008610B4"/>
    <w:rsid w:val="008611FE"/>
    <w:rsid w:val="0086207A"/>
    <w:rsid w:val="008620CB"/>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6DF0"/>
    <w:rsid w:val="0087751B"/>
    <w:rsid w:val="008809A3"/>
    <w:rsid w:val="00880DE3"/>
    <w:rsid w:val="0088116E"/>
    <w:rsid w:val="0088314B"/>
    <w:rsid w:val="008835D0"/>
    <w:rsid w:val="008835DE"/>
    <w:rsid w:val="00883EC4"/>
    <w:rsid w:val="00890894"/>
    <w:rsid w:val="008918D9"/>
    <w:rsid w:val="0089280D"/>
    <w:rsid w:val="00893249"/>
    <w:rsid w:val="00893ACD"/>
    <w:rsid w:val="00895D30"/>
    <w:rsid w:val="0089795E"/>
    <w:rsid w:val="008A0F71"/>
    <w:rsid w:val="008A1533"/>
    <w:rsid w:val="008A2614"/>
    <w:rsid w:val="008A27BD"/>
    <w:rsid w:val="008A3821"/>
    <w:rsid w:val="008A464F"/>
    <w:rsid w:val="008A5350"/>
    <w:rsid w:val="008A57ED"/>
    <w:rsid w:val="008A780B"/>
    <w:rsid w:val="008B0326"/>
    <w:rsid w:val="008B0EC0"/>
    <w:rsid w:val="008B1A33"/>
    <w:rsid w:val="008B1EA2"/>
    <w:rsid w:val="008B2089"/>
    <w:rsid w:val="008B2237"/>
    <w:rsid w:val="008B23AB"/>
    <w:rsid w:val="008B2784"/>
    <w:rsid w:val="008B588B"/>
    <w:rsid w:val="008B5D99"/>
    <w:rsid w:val="008C0466"/>
    <w:rsid w:val="008C0C08"/>
    <w:rsid w:val="008C328A"/>
    <w:rsid w:val="008C6086"/>
    <w:rsid w:val="008C7440"/>
    <w:rsid w:val="008D043E"/>
    <w:rsid w:val="008D0552"/>
    <w:rsid w:val="008D0FC8"/>
    <w:rsid w:val="008D2C55"/>
    <w:rsid w:val="008D32AE"/>
    <w:rsid w:val="008D3596"/>
    <w:rsid w:val="008D40B7"/>
    <w:rsid w:val="008D4251"/>
    <w:rsid w:val="008D616C"/>
    <w:rsid w:val="008D6311"/>
    <w:rsid w:val="008D697B"/>
    <w:rsid w:val="008E051B"/>
    <w:rsid w:val="008E09F4"/>
    <w:rsid w:val="008E17CD"/>
    <w:rsid w:val="008E1A4B"/>
    <w:rsid w:val="008E1F7C"/>
    <w:rsid w:val="008E25EF"/>
    <w:rsid w:val="008E2EF4"/>
    <w:rsid w:val="008E3434"/>
    <w:rsid w:val="008E3452"/>
    <w:rsid w:val="008E3483"/>
    <w:rsid w:val="008E5411"/>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1C96"/>
    <w:rsid w:val="00943EA3"/>
    <w:rsid w:val="00944EFC"/>
    <w:rsid w:val="00945FA7"/>
    <w:rsid w:val="00946C12"/>
    <w:rsid w:val="00950132"/>
    <w:rsid w:val="00952B3E"/>
    <w:rsid w:val="0095442C"/>
    <w:rsid w:val="00954EE0"/>
    <w:rsid w:val="00955661"/>
    <w:rsid w:val="009559E9"/>
    <w:rsid w:val="00956281"/>
    <w:rsid w:val="00960431"/>
    <w:rsid w:val="0096094B"/>
    <w:rsid w:val="00960B5A"/>
    <w:rsid w:val="00960EB7"/>
    <w:rsid w:val="009610B8"/>
    <w:rsid w:val="009611AA"/>
    <w:rsid w:val="0096327B"/>
    <w:rsid w:val="00965EFE"/>
    <w:rsid w:val="009673DB"/>
    <w:rsid w:val="00971BD3"/>
    <w:rsid w:val="00972277"/>
    <w:rsid w:val="00972E61"/>
    <w:rsid w:val="00973866"/>
    <w:rsid w:val="00973B90"/>
    <w:rsid w:val="009752D0"/>
    <w:rsid w:val="009757E2"/>
    <w:rsid w:val="00976B23"/>
    <w:rsid w:val="00976E3E"/>
    <w:rsid w:val="00977015"/>
    <w:rsid w:val="00980628"/>
    <w:rsid w:val="009814AD"/>
    <w:rsid w:val="00981E3B"/>
    <w:rsid w:val="00982E98"/>
    <w:rsid w:val="00983C36"/>
    <w:rsid w:val="00984562"/>
    <w:rsid w:val="00985C7B"/>
    <w:rsid w:val="00986BAD"/>
    <w:rsid w:val="00987BB2"/>
    <w:rsid w:val="009915DE"/>
    <w:rsid w:val="0099172C"/>
    <w:rsid w:val="00992AE8"/>
    <w:rsid w:val="00992E8B"/>
    <w:rsid w:val="00992E9B"/>
    <w:rsid w:val="009947DA"/>
    <w:rsid w:val="00995C33"/>
    <w:rsid w:val="009969F2"/>
    <w:rsid w:val="0099709A"/>
    <w:rsid w:val="00997E83"/>
    <w:rsid w:val="009A0E4B"/>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5FEC"/>
    <w:rsid w:val="009B74FD"/>
    <w:rsid w:val="009B7888"/>
    <w:rsid w:val="009C0AB5"/>
    <w:rsid w:val="009C1850"/>
    <w:rsid w:val="009C2BE9"/>
    <w:rsid w:val="009C3558"/>
    <w:rsid w:val="009C517B"/>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53EB"/>
    <w:rsid w:val="009E5441"/>
    <w:rsid w:val="009E5456"/>
    <w:rsid w:val="009E5B9C"/>
    <w:rsid w:val="009E6257"/>
    <w:rsid w:val="009E6904"/>
    <w:rsid w:val="009E77CA"/>
    <w:rsid w:val="009E79DB"/>
    <w:rsid w:val="009F09CF"/>
    <w:rsid w:val="009F1558"/>
    <w:rsid w:val="009F2A92"/>
    <w:rsid w:val="009F2AA7"/>
    <w:rsid w:val="009F2B98"/>
    <w:rsid w:val="009F43D8"/>
    <w:rsid w:val="009F4A30"/>
    <w:rsid w:val="009F4F3A"/>
    <w:rsid w:val="009F505B"/>
    <w:rsid w:val="009F5141"/>
    <w:rsid w:val="009F56FF"/>
    <w:rsid w:val="009F69D8"/>
    <w:rsid w:val="009F7378"/>
    <w:rsid w:val="009F7BAD"/>
    <w:rsid w:val="00A00406"/>
    <w:rsid w:val="00A03958"/>
    <w:rsid w:val="00A03FE4"/>
    <w:rsid w:val="00A07EA9"/>
    <w:rsid w:val="00A10C69"/>
    <w:rsid w:val="00A11071"/>
    <w:rsid w:val="00A11763"/>
    <w:rsid w:val="00A11822"/>
    <w:rsid w:val="00A12782"/>
    <w:rsid w:val="00A12E5C"/>
    <w:rsid w:val="00A147FA"/>
    <w:rsid w:val="00A1555D"/>
    <w:rsid w:val="00A16F8B"/>
    <w:rsid w:val="00A214EA"/>
    <w:rsid w:val="00A2219D"/>
    <w:rsid w:val="00A222FF"/>
    <w:rsid w:val="00A24246"/>
    <w:rsid w:val="00A24A94"/>
    <w:rsid w:val="00A27946"/>
    <w:rsid w:val="00A30522"/>
    <w:rsid w:val="00A307C7"/>
    <w:rsid w:val="00A30E11"/>
    <w:rsid w:val="00A30F21"/>
    <w:rsid w:val="00A311AD"/>
    <w:rsid w:val="00A314BE"/>
    <w:rsid w:val="00A31FBA"/>
    <w:rsid w:val="00A325A1"/>
    <w:rsid w:val="00A3293C"/>
    <w:rsid w:val="00A33768"/>
    <w:rsid w:val="00A35813"/>
    <w:rsid w:val="00A359A8"/>
    <w:rsid w:val="00A35E74"/>
    <w:rsid w:val="00A363B8"/>
    <w:rsid w:val="00A3645C"/>
    <w:rsid w:val="00A36B94"/>
    <w:rsid w:val="00A379B6"/>
    <w:rsid w:val="00A37B95"/>
    <w:rsid w:val="00A4016E"/>
    <w:rsid w:val="00A4043D"/>
    <w:rsid w:val="00A43AFA"/>
    <w:rsid w:val="00A4414B"/>
    <w:rsid w:val="00A45BD8"/>
    <w:rsid w:val="00A46F87"/>
    <w:rsid w:val="00A470B5"/>
    <w:rsid w:val="00A47782"/>
    <w:rsid w:val="00A47C8D"/>
    <w:rsid w:val="00A50F15"/>
    <w:rsid w:val="00A5142F"/>
    <w:rsid w:val="00A5184C"/>
    <w:rsid w:val="00A54044"/>
    <w:rsid w:val="00A577F2"/>
    <w:rsid w:val="00A579A0"/>
    <w:rsid w:val="00A60D9E"/>
    <w:rsid w:val="00A61B57"/>
    <w:rsid w:val="00A61D9B"/>
    <w:rsid w:val="00A620E5"/>
    <w:rsid w:val="00A62B75"/>
    <w:rsid w:val="00A6546B"/>
    <w:rsid w:val="00A65658"/>
    <w:rsid w:val="00A66DC1"/>
    <w:rsid w:val="00A70262"/>
    <w:rsid w:val="00A7107F"/>
    <w:rsid w:val="00A714B1"/>
    <w:rsid w:val="00A71A78"/>
    <w:rsid w:val="00A72ABA"/>
    <w:rsid w:val="00A73449"/>
    <w:rsid w:val="00A74258"/>
    <w:rsid w:val="00A74DB1"/>
    <w:rsid w:val="00A752E4"/>
    <w:rsid w:val="00A7543D"/>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402B"/>
    <w:rsid w:val="00AB4F98"/>
    <w:rsid w:val="00AB61CF"/>
    <w:rsid w:val="00AC0C80"/>
    <w:rsid w:val="00AC1417"/>
    <w:rsid w:val="00AC1DD1"/>
    <w:rsid w:val="00AC2B20"/>
    <w:rsid w:val="00AC2C85"/>
    <w:rsid w:val="00AC4031"/>
    <w:rsid w:val="00AC4119"/>
    <w:rsid w:val="00AC437C"/>
    <w:rsid w:val="00AC702A"/>
    <w:rsid w:val="00AC7370"/>
    <w:rsid w:val="00AD0411"/>
    <w:rsid w:val="00AD0771"/>
    <w:rsid w:val="00AD12E8"/>
    <w:rsid w:val="00AD1988"/>
    <w:rsid w:val="00AD1F01"/>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D1C"/>
    <w:rsid w:val="00AF1B9D"/>
    <w:rsid w:val="00AF3676"/>
    <w:rsid w:val="00AF5902"/>
    <w:rsid w:val="00AF6052"/>
    <w:rsid w:val="00AF60E2"/>
    <w:rsid w:val="00AF629F"/>
    <w:rsid w:val="00AF7288"/>
    <w:rsid w:val="00B00860"/>
    <w:rsid w:val="00B02163"/>
    <w:rsid w:val="00B032FF"/>
    <w:rsid w:val="00B03BFF"/>
    <w:rsid w:val="00B04188"/>
    <w:rsid w:val="00B0423C"/>
    <w:rsid w:val="00B04EDE"/>
    <w:rsid w:val="00B05245"/>
    <w:rsid w:val="00B057D7"/>
    <w:rsid w:val="00B05CA8"/>
    <w:rsid w:val="00B062F6"/>
    <w:rsid w:val="00B06521"/>
    <w:rsid w:val="00B07934"/>
    <w:rsid w:val="00B07F21"/>
    <w:rsid w:val="00B11C39"/>
    <w:rsid w:val="00B120BF"/>
    <w:rsid w:val="00B1490E"/>
    <w:rsid w:val="00B14BD3"/>
    <w:rsid w:val="00B15E2D"/>
    <w:rsid w:val="00B16765"/>
    <w:rsid w:val="00B16EA6"/>
    <w:rsid w:val="00B173A1"/>
    <w:rsid w:val="00B20118"/>
    <w:rsid w:val="00B2080F"/>
    <w:rsid w:val="00B21668"/>
    <w:rsid w:val="00B21762"/>
    <w:rsid w:val="00B218CE"/>
    <w:rsid w:val="00B21A32"/>
    <w:rsid w:val="00B21D53"/>
    <w:rsid w:val="00B2266C"/>
    <w:rsid w:val="00B228EE"/>
    <w:rsid w:val="00B23414"/>
    <w:rsid w:val="00B24024"/>
    <w:rsid w:val="00B24EC9"/>
    <w:rsid w:val="00B24FD7"/>
    <w:rsid w:val="00B254E0"/>
    <w:rsid w:val="00B261CF"/>
    <w:rsid w:val="00B26999"/>
    <w:rsid w:val="00B270C1"/>
    <w:rsid w:val="00B27192"/>
    <w:rsid w:val="00B2771F"/>
    <w:rsid w:val="00B27BF9"/>
    <w:rsid w:val="00B30CF5"/>
    <w:rsid w:val="00B34259"/>
    <w:rsid w:val="00B34B11"/>
    <w:rsid w:val="00B34DAE"/>
    <w:rsid w:val="00B35EE9"/>
    <w:rsid w:val="00B37499"/>
    <w:rsid w:val="00B3781C"/>
    <w:rsid w:val="00B37B03"/>
    <w:rsid w:val="00B40484"/>
    <w:rsid w:val="00B40643"/>
    <w:rsid w:val="00B40B0E"/>
    <w:rsid w:val="00B41754"/>
    <w:rsid w:val="00B446CB"/>
    <w:rsid w:val="00B44FD0"/>
    <w:rsid w:val="00B4581E"/>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96"/>
    <w:rsid w:val="00B634DE"/>
    <w:rsid w:val="00B6358A"/>
    <w:rsid w:val="00B6410D"/>
    <w:rsid w:val="00B64AEC"/>
    <w:rsid w:val="00B655D4"/>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7C0"/>
    <w:rsid w:val="00B87BF3"/>
    <w:rsid w:val="00B92C27"/>
    <w:rsid w:val="00B93A5F"/>
    <w:rsid w:val="00B9575A"/>
    <w:rsid w:val="00B96549"/>
    <w:rsid w:val="00B96F73"/>
    <w:rsid w:val="00B9700D"/>
    <w:rsid w:val="00B97D05"/>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04A7"/>
    <w:rsid w:val="00BD31C4"/>
    <w:rsid w:val="00BD37DC"/>
    <w:rsid w:val="00BD5C86"/>
    <w:rsid w:val="00BD5CCE"/>
    <w:rsid w:val="00BD659A"/>
    <w:rsid w:val="00BD6994"/>
    <w:rsid w:val="00BD767F"/>
    <w:rsid w:val="00BD7A56"/>
    <w:rsid w:val="00BE17F2"/>
    <w:rsid w:val="00BE24B2"/>
    <w:rsid w:val="00BE27C6"/>
    <w:rsid w:val="00BE4DE9"/>
    <w:rsid w:val="00BE7A84"/>
    <w:rsid w:val="00BF1837"/>
    <w:rsid w:val="00BF32B1"/>
    <w:rsid w:val="00BF46E0"/>
    <w:rsid w:val="00BF53D4"/>
    <w:rsid w:val="00BF56C5"/>
    <w:rsid w:val="00BF75EF"/>
    <w:rsid w:val="00BF7698"/>
    <w:rsid w:val="00BF7786"/>
    <w:rsid w:val="00BF7CF1"/>
    <w:rsid w:val="00C02431"/>
    <w:rsid w:val="00C0359E"/>
    <w:rsid w:val="00C03EE0"/>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87"/>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2A4"/>
    <w:rsid w:val="00C418DE"/>
    <w:rsid w:val="00C444CB"/>
    <w:rsid w:val="00C444D8"/>
    <w:rsid w:val="00C4665F"/>
    <w:rsid w:val="00C50B8A"/>
    <w:rsid w:val="00C51210"/>
    <w:rsid w:val="00C51D2E"/>
    <w:rsid w:val="00C52783"/>
    <w:rsid w:val="00C53FDA"/>
    <w:rsid w:val="00C5504B"/>
    <w:rsid w:val="00C5594F"/>
    <w:rsid w:val="00C57FCE"/>
    <w:rsid w:val="00C616FB"/>
    <w:rsid w:val="00C62D73"/>
    <w:rsid w:val="00C62FBC"/>
    <w:rsid w:val="00C6388C"/>
    <w:rsid w:val="00C6528B"/>
    <w:rsid w:val="00C653AE"/>
    <w:rsid w:val="00C65809"/>
    <w:rsid w:val="00C65D59"/>
    <w:rsid w:val="00C66389"/>
    <w:rsid w:val="00C67678"/>
    <w:rsid w:val="00C717C7"/>
    <w:rsid w:val="00C719E1"/>
    <w:rsid w:val="00C71B96"/>
    <w:rsid w:val="00C71DFF"/>
    <w:rsid w:val="00C729AA"/>
    <w:rsid w:val="00C72BE2"/>
    <w:rsid w:val="00C7322E"/>
    <w:rsid w:val="00C73D75"/>
    <w:rsid w:val="00C74D84"/>
    <w:rsid w:val="00C760D2"/>
    <w:rsid w:val="00C82F06"/>
    <w:rsid w:val="00C83EE3"/>
    <w:rsid w:val="00C84545"/>
    <w:rsid w:val="00C863B2"/>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5F87"/>
    <w:rsid w:val="00CB67A3"/>
    <w:rsid w:val="00CB6C8E"/>
    <w:rsid w:val="00CB6FBA"/>
    <w:rsid w:val="00CB701B"/>
    <w:rsid w:val="00CC02A2"/>
    <w:rsid w:val="00CC1BF3"/>
    <w:rsid w:val="00CC1E63"/>
    <w:rsid w:val="00CC1E80"/>
    <w:rsid w:val="00CC28AB"/>
    <w:rsid w:val="00CC2AED"/>
    <w:rsid w:val="00CC2DB4"/>
    <w:rsid w:val="00CC433F"/>
    <w:rsid w:val="00CC6179"/>
    <w:rsid w:val="00CC624B"/>
    <w:rsid w:val="00CC652D"/>
    <w:rsid w:val="00CC673D"/>
    <w:rsid w:val="00CC6E2C"/>
    <w:rsid w:val="00CD2649"/>
    <w:rsid w:val="00CD500B"/>
    <w:rsid w:val="00CD6249"/>
    <w:rsid w:val="00CD6DC5"/>
    <w:rsid w:val="00CD7335"/>
    <w:rsid w:val="00CD74A7"/>
    <w:rsid w:val="00CD7587"/>
    <w:rsid w:val="00CE1507"/>
    <w:rsid w:val="00CE2044"/>
    <w:rsid w:val="00CE6C9E"/>
    <w:rsid w:val="00CE7D80"/>
    <w:rsid w:val="00CF0077"/>
    <w:rsid w:val="00CF03F5"/>
    <w:rsid w:val="00CF2DAB"/>
    <w:rsid w:val="00CF436E"/>
    <w:rsid w:val="00CF4648"/>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50D9"/>
    <w:rsid w:val="00D159D3"/>
    <w:rsid w:val="00D1608C"/>
    <w:rsid w:val="00D16CB4"/>
    <w:rsid w:val="00D17CE4"/>
    <w:rsid w:val="00D21A45"/>
    <w:rsid w:val="00D22B12"/>
    <w:rsid w:val="00D23D9B"/>
    <w:rsid w:val="00D25443"/>
    <w:rsid w:val="00D278C9"/>
    <w:rsid w:val="00D30846"/>
    <w:rsid w:val="00D30C64"/>
    <w:rsid w:val="00D31243"/>
    <w:rsid w:val="00D31563"/>
    <w:rsid w:val="00D339C6"/>
    <w:rsid w:val="00D34519"/>
    <w:rsid w:val="00D3558C"/>
    <w:rsid w:val="00D35E7B"/>
    <w:rsid w:val="00D367F3"/>
    <w:rsid w:val="00D36A91"/>
    <w:rsid w:val="00D3798D"/>
    <w:rsid w:val="00D40AA8"/>
    <w:rsid w:val="00D40FAB"/>
    <w:rsid w:val="00D41170"/>
    <w:rsid w:val="00D43C9A"/>
    <w:rsid w:val="00D443A2"/>
    <w:rsid w:val="00D44F3F"/>
    <w:rsid w:val="00D47053"/>
    <w:rsid w:val="00D51772"/>
    <w:rsid w:val="00D51C8E"/>
    <w:rsid w:val="00D526FA"/>
    <w:rsid w:val="00D52975"/>
    <w:rsid w:val="00D534A5"/>
    <w:rsid w:val="00D54329"/>
    <w:rsid w:val="00D546FF"/>
    <w:rsid w:val="00D56F8C"/>
    <w:rsid w:val="00D57D92"/>
    <w:rsid w:val="00D60332"/>
    <w:rsid w:val="00D61898"/>
    <w:rsid w:val="00D61AC1"/>
    <w:rsid w:val="00D625B9"/>
    <w:rsid w:val="00D6298E"/>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2CA1"/>
    <w:rsid w:val="00D73EB6"/>
    <w:rsid w:val="00D75077"/>
    <w:rsid w:val="00D76169"/>
    <w:rsid w:val="00D7763B"/>
    <w:rsid w:val="00D77EDB"/>
    <w:rsid w:val="00D80684"/>
    <w:rsid w:val="00D808DE"/>
    <w:rsid w:val="00D814E2"/>
    <w:rsid w:val="00D81D12"/>
    <w:rsid w:val="00D824F3"/>
    <w:rsid w:val="00D84BEC"/>
    <w:rsid w:val="00D84EE2"/>
    <w:rsid w:val="00D857ED"/>
    <w:rsid w:val="00D859F7"/>
    <w:rsid w:val="00D9077D"/>
    <w:rsid w:val="00D91483"/>
    <w:rsid w:val="00D939BE"/>
    <w:rsid w:val="00D9413C"/>
    <w:rsid w:val="00D948D4"/>
    <w:rsid w:val="00D94F9F"/>
    <w:rsid w:val="00D95A4E"/>
    <w:rsid w:val="00D95C50"/>
    <w:rsid w:val="00D95D29"/>
    <w:rsid w:val="00D972B4"/>
    <w:rsid w:val="00D9784C"/>
    <w:rsid w:val="00DA0195"/>
    <w:rsid w:val="00DA0C9F"/>
    <w:rsid w:val="00DA1711"/>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6B2F"/>
    <w:rsid w:val="00DC70EC"/>
    <w:rsid w:val="00DD072B"/>
    <w:rsid w:val="00DD24E2"/>
    <w:rsid w:val="00DD2E1C"/>
    <w:rsid w:val="00DD3569"/>
    <w:rsid w:val="00DD6BB1"/>
    <w:rsid w:val="00DE3B1F"/>
    <w:rsid w:val="00DE7F53"/>
    <w:rsid w:val="00DF091D"/>
    <w:rsid w:val="00DF10D8"/>
    <w:rsid w:val="00DF182B"/>
    <w:rsid w:val="00DF35B9"/>
    <w:rsid w:val="00DF3891"/>
    <w:rsid w:val="00DF3B27"/>
    <w:rsid w:val="00DF5641"/>
    <w:rsid w:val="00DF6AA5"/>
    <w:rsid w:val="00DF6EDB"/>
    <w:rsid w:val="00DF7757"/>
    <w:rsid w:val="00DF78FD"/>
    <w:rsid w:val="00E016F9"/>
    <w:rsid w:val="00E07FEC"/>
    <w:rsid w:val="00E1131F"/>
    <w:rsid w:val="00E12BD3"/>
    <w:rsid w:val="00E137B4"/>
    <w:rsid w:val="00E14288"/>
    <w:rsid w:val="00E15470"/>
    <w:rsid w:val="00E16A8F"/>
    <w:rsid w:val="00E20AA8"/>
    <w:rsid w:val="00E21081"/>
    <w:rsid w:val="00E239A6"/>
    <w:rsid w:val="00E2511B"/>
    <w:rsid w:val="00E26867"/>
    <w:rsid w:val="00E309A2"/>
    <w:rsid w:val="00E30E48"/>
    <w:rsid w:val="00E310C9"/>
    <w:rsid w:val="00E319B0"/>
    <w:rsid w:val="00E31D40"/>
    <w:rsid w:val="00E322D2"/>
    <w:rsid w:val="00E33C49"/>
    <w:rsid w:val="00E34638"/>
    <w:rsid w:val="00E34979"/>
    <w:rsid w:val="00E35C32"/>
    <w:rsid w:val="00E35D6A"/>
    <w:rsid w:val="00E36134"/>
    <w:rsid w:val="00E36678"/>
    <w:rsid w:val="00E3688B"/>
    <w:rsid w:val="00E36DDA"/>
    <w:rsid w:val="00E3755C"/>
    <w:rsid w:val="00E37DDC"/>
    <w:rsid w:val="00E4097B"/>
    <w:rsid w:val="00E41761"/>
    <w:rsid w:val="00E42BC7"/>
    <w:rsid w:val="00E45DB2"/>
    <w:rsid w:val="00E475BC"/>
    <w:rsid w:val="00E52752"/>
    <w:rsid w:val="00E53492"/>
    <w:rsid w:val="00E54E26"/>
    <w:rsid w:val="00E55706"/>
    <w:rsid w:val="00E55C7A"/>
    <w:rsid w:val="00E55EBC"/>
    <w:rsid w:val="00E5615E"/>
    <w:rsid w:val="00E5766A"/>
    <w:rsid w:val="00E607E6"/>
    <w:rsid w:val="00E6304C"/>
    <w:rsid w:val="00E703E4"/>
    <w:rsid w:val="00E7055A"/>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89A"/>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7465"/>
    <w:rsid w:val="00EB7CD8"/>
    <w:rsid w:val="00EB7D9B"/>
    <w:rsid w:val="00EC0369"/>
    <w:rsid w:val="00EC06A6"/>
    <w:rsid w:val="00EC0B6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23EB"/>
    <w:rsid w:val="00F02579"/>
    <w:rsid w:val="00F04C14"/>
    <w:rsid w:val="00F068B9"/>
    <w:rsid w:val="00F07870"/>
    <w:rsid w:val="00F07C41"/>
    <w:rsid w:val="00F130C2"/>
    <w:rsid w:val="00F1545B"/>
    <w:rsid w:val="00F16037"/>
    <w:rsid w:val="00F17AD0"/>
    <w:rsid w:val="00F2019A"/>
    <w:rsid w:val="00F20949"/>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5B1"/>
    <w:rsid w:val="00F40E30"/>
    <w:rsid w:val="00F42357"/>
    <w:rsid w:val="00F42B8E"/>
    <w:rsid w:val="00F433D4"/>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0C22"/>
    <w:rsid w:val="00F62FF7"/>
    <w:rsid w:val="00F6337B"/>
    <w:rsid w:val="00F63F6F"/>
    <w:rsid w:val="00F6436C"/>
    <w:rsid w:val="00F65151"/>
    <w:rsid w:val="00F651A9"/>
    <w:rsid w:val="00F65A2C"/>
    <w:rsid w:val="00F67BDE"/>
    <w:rsid w:val="00F70C16"/>
    <w:rsid w:val="00F723E6"/>
    <w:rsid w:val="00F73561"/>
    <w:rsid w:val="00F752AC"/>
    <w:rsid w:val="00F7695C"/>
    <w:rsid w:val="00F76C04"/>
    <w:rsid w:val="00F77BC4"/>
    <w:rsid w:val="00F77D7E"/>
    <w:rsid w:val="00F815B3"/>
    <w:rsid w:val="00F83C97"/>
    <w:rsid w:val="00F8470C"/>
    <w:rsid w:val="00F90821"/>
    <w:rsid w:val="00F916C6"/>
    <w:rsid w:val="00F92685"/>
    <w:rsid w:val="00F94A29"/>
    <w:rsid w:val="00F94ED9"/>
    <w:rsid w:val="00F961AF"/>
    <w:rsid w:val="00F96409"/>
    <w:rsid w:val="00FA020A"/>
    <w:rsid w:val="00FA03CF"/>
    <w:rsid w:val="00FA0B8C"/>
    <w:rsid w:val="00FA2705"/>
    <w:rsid w:val="00FA3DF7"/>
    <w:rsid w:val="00FA44C7"/>
    <w:rsid w:val="00FA5330"/>
    <w:rsid w:val="00FA5C3F"/>
    <w:rsid w:val="00FA68BE"/>
    <w:rsid w:val="00FA6A5F"/>
    <w:rsid w:val="00FA70C7"/>
    <w:rsid w:val="00FA73DA"/>
    <w:rsid w:val="00FA7E4B"/>
    <w:rsid w:val="00FB00EF"/>
    <w:rsid w:val="00FB096F"/>
    <w:rsid w:val="00FB12A3"/>
    <w:rsid w:val="00FB1AEC"/>
    <w:rsid w:val="00FB231D"/>
    <w:rsid w:val="00FB2B82"/>
    <w:rsid w:val="00FB31FC"/>
    <w:rsid w:val="00FB341C"/>
    <w:rsid w:val="00FB4249"/>
    <w:rsid w:val="00FB4CC4"/>
    <w:rsid w:val="00FB5401"/>
    <w:rsid w:val="00FB542C"/>
    <w:rsid w:val="00FB54D7"/>
    <w:rsid w:val="00FB7A6C"/>
    <w:rsid w:val="00FB7B0E"/>
    <w:rsid w:val="00FC131B"/>
    <w:rsid w:val="00FC26E0"/>
    <w:rsid w:val="00FC36D3"/>
    <w:rsid w:val="00FC43DA"/>
    <w:rsid w:val="00FC5603"/>
    <w:rsid w:val="00FC5726"/>
    <w:rsid w:val="00FC78AD"/>
    <w:rsid w:val="00FD2B29"/>
    <w:rsid w:val="00FD311E"/>
    <w:rsid w:val="00FD5A25"/>
    <w:rsid w:val="00FD7CB8"/>
    <w:rsid w:val="00FE2B8F"/>
    <w:rsid w:val="00FE3589"/>
    <w:rsid w:val="00FE4181"/>
    <w:rsid w:val="00FE4977"/>
    <w:rsid w:val="00FE62D1"/>
    <w:rsid w:val="00FF19C4"/>
    <w:rsid w:val="00FF2B40"/>
    <w:rsid w:val="00FF3708"/>
    <w:rsid w:val="00FF397B"/>
    <w:rsid w:val="00FF5FB9"/>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74232"/>
  <w15:chartTrackingRefBased/>
  <w15:docId w15:val="{05D91D61-4261-4B3A-9648-45F9098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30"/>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131"/>
    <w:pPr>
      <w:autoSpaceDE w:val="0"/>
      <w:autoSpaceDN w:val="0"/>
      <w:adjustRightInd w:val="0"/>
    </w:pPr>
    <w:rPr>
      <w:rFonts w:ascii="Arial" w:hAnsi="Arial" w:cs="Arial"/>
      <w:color w:val="000000"/>
      <w:sz w:val="24"/>
      <w:szCs w:val="24"/>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1">
    <w:name w:val="Title1"/>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customStyle="1" w:styleId="UnresolvedMention1">
    <w:name w:val="Unresolved Mention1"/>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1A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Chris (Judicial Office)</cp:lastModifiedBy>
  <cp:revision>1</cp:revision>
  <dcterms:created xsi:type="dcterms:W3CDTF">2022-07-18T08:51:00Z</dcterms:created>
  <dcterms:modified xsi:type="dcterms:W3CDTF">2022-07-18T08:52:00Z</dcterms:modified>
</cp:coreProperties>
</file>