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2A913" w14:textId="467D644E" w:rsidR="000A0E20" w:rsidRDefault="000A0E20" w:rsidP="00F628E7">
      <w:pPr>
        <w:rPr>
          <w:b/>
          <w:bCs/>
        </w:rPr>
      </w:pPr>
      <w:r>
        <w:rPr>
          <w:b/>
          <w:bCs/>
        </w:rPr>
        <w:tab/>
      </w:r>
      <w:r>
        <w:rPr>
          <w:b/>
          <w:bCs/>
        </w:rPr>
        <w:tab/>
      </w:r>
      <w:r>
        <w:rPr>
          <w:b/>
          <w:bCs/>
        </w:rPr>
        <w:tab/>
      </w:r>
      <w:r>
        <w:rPr>
          <w:b/>
          <w:bCs/>
        </w:rPr>
        <w:tab/>
      </w:r>
      <w:r>
        <w:rPr>
          <w:b/>
          <w:bCs/>
        </w:rPr>
        <w:tab/>
      </w:r>
      <w:r w:rsidRPr="001059EC">
        <w:rPr>
          <w:rFonts w:cstheme="minorHAnsi"/>
          <w:noProof/>
          <w:lang w:eastAsia="en-GB"/>
        </w:rPr>
        <w:drawing>
          <wp:inline distT="0" distB="0" distL="0" distR="0" wp14:anchorId="452A1C67" wp14:editId="7B907AA6">
            <wp:extent cx="541190" cy="809662"/>
            <wp:effectExtent l="0" t="0" r="0" b="0"/>
            <wp:docPr id="1" name="Picture 1" descr="FJ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C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529" cy="840091"/>
                    </a:xfrm>
                    <a:prstGeom prst="rect">
                      <a:avLst/>
                    </a:prstGeom>
                    <a:noFill/>
                    <a:ln>
                      <a:noFill/>
                    </a:ln>
                  </pic:spPr>
                </pic:pic>
              </a:graphicData>
            </a:graphic>
          </wp:inline>
        </w:drawing>
      </w:r>
    </w:p>
    <w:p w14:paraId="537DDDCD" w14:textId="77777777" w:rsidR="000A0E20" w:rsidRDefault="000A0E20" w:rsidP="00F628E7">
      <w:pPr>
        <w:rPr>
          <w:b/>
          <w:bCs/>
        </w:rPr>
      </w:pPr>
    </w:p>
    <w:p w14:paraId="29ABF4D6" w14:textId="6802C454" w:rsidR="00F628E7" w:rsidRPr="000A0E20" w:rsidRDefault="00F628E7" w:rsidP="000A0E20">
      <w:pPr>
        <w:jc w:val="center"/>
        <w:rPr>
          <w:b/>
          <w:bCs/>
          <w:sz w:val="24"/>
          <w:szCs w:val="24"/>
        </w:rPr>
      </w:pPr>
      <w:r w:rsidRPr="000A0E20">
        <w:rPr>
          <w:b/>
          <w:bCs/>
          <w:sz w:val="24"/>
          <w:szCs w:val="24"/>
        </w:rPr>
        <w:t>Family Procedure Rule Committee Consultation on procedure for Police Disclosure Orders: proposed Practice Direction changes</w:t>
      </w:r>
    </w:p>
    <w:p w14:paraId="2C1F879F" w14:textId="47735E75" w:rsidR="00F628E7" w:rsidRPr="000A0E20" w:rsidRDefault="00F628E7" w:rsidP="000A0E20">
      <w:pPr>
        <w:jc w:val="center"/>
        <w:rPr>
          <w:b/>
          <w:bCs/>
          <w:sz w:val="24"/>
          <w:szCs w:val="24"/>
        </w:rPr>
      </w:pPr>
      <w:r w:rsidRPr="000A0E20">
        <w:rPr>
          <w:b/>
          <w:bCs/>
          <w:sz w:val="24"/>
          <w:szCs w:val="24"/>
        </w:rPr>
        <w:t>Family Justice Council response</w:t>
      </w:r>
    </w:p>
    <w:p w14:paraId="29828278" w14:textId="38D39FF3" w:rsidR="00F628E7" w:rsidRPr="00F628E7" w:rsidRDefault="00F628E7" w:rsidP="00F628E7">
      <w:pPr>
        <w:rPr>
          <w:b/>
          <w:bCs/>
        </w:rPr>
      </w:pPr>
      <w:r w:rsidRPr="00F628E7">
        <w:rPr>
          <w:b/>
          <w:bCs/>
        </w:rPr>
        <w:t xml:space="preserve">CONSULTATION QUESTIONS </w:t>
      </w:r>
    </w:p>
    <w:p w14:paraId="0ED401A6" w14:textId="77777777" w:rsidR="00F628E7" w:rsidRPr="00F628E7" w:rsidRDefault="00F628E7" w:rsidP="00A22143">
      <w:pPr>
        <w:spacing w:after="0"/>
        <w:rPr>
          <w:b/>
          <w:bCs/>
        </w:rPr>
      </w:pPr>
      <w:r w:rsidRPr="00F628E7">
        <w:rPr>
          <w:b/>
          <w:bCs/>
        </w:rPr>
        <w:t xml:space="preserve">Question 1 </w:t>
      </w:r>
    </w:p>
    <w:p w14:paraId="764FFECA" w14:textId="77777777" w:rsidR="00F628E7" w:rsidRDefault="00F628E7" w:rsidP="00F628E7">
      <w:r>
        <w:t xml:space="preserve">Do you have any feedback on the amendments relating to police disclosure orders, as currently drafted? </w:t>
      </w:r>
    </w:p>
    <w:p w14:paraId="78F1059D" w14:textId="77777777" w:rsidR="00A22143" w:rsidRDefault="00A22143" w:rsidP="00A22143">
      <w:pPr>
        <w:spacing w:after="0"/>
        <w:rPr>
          <w:b/>
          <w:bCs/>
        </w:rPr>
      </w:pPr>
    </w:p>
    <w:p w14:paraId="75EE8224" w14:textId="382184D1" w:rsidR="00F628E7" w:rsidRDefault="00F628E7" w:rsidP="00A22143">
      <w:pPr>
        <w:spacing w:after="0"/>
        <w:rPr>
          <w:b/>
          <w:bCs/>
        </w:rPr>
      </w:pPr>
      <w:r w:rsidRPr="00F628E7">
        <w:rPr>
          <w:b/>
          <w:bCs/>
        </w:rPr>
        <w:t>Response</w:t>
      </w:r>
    </w:p>
    <w:p w14:paraId="33EFFC3A" w14:textId="77777777" w:rsidR="005563E9" w:rsidRDefault="00A35625" w:rsidP="00A22143">
      <w:pPr>
        <w:spacing w:after="0"/>
      </w:pPr>
      <w:r>
        <w:t xml:space="preserve">In public law proceedings, the parties have first to seek voluntary disclosure using the </w:t>
      </w:r>
      <w:r w:rsidR="0037442A">
        <w:t>Protocol and Good Practice Model for disclosure of information in cases of alleged child abuse and linked criminal and care directions hearings (</w:t>
      </w:r>
      <w:hyperlink r:id="rId7" w:history="1">
        <w:r w:rsidR="0037442A" w:rsidRPr="009829EE">
          <w:rPr>
            <w:rStyle w:val="Hyperlink"/>
          </w:rPr>
          <w:t>https://www.judiciary.uk/wp-content/uploads/JCO/Documents/Guidance/protocol-good-practice-model-2013.pdf</w:t>
        </w:r>
      </w:hyperlink>
      <w:r w:rsidR="0037442A">
        <w:t xml:space="preserve"> and attached). </w:t>
      </w:r>
    </w:p>
    <w:p w14:paraId="1A00DC76" w14:textId="77777777" w:rsidR="005563E9" w:rsidRDefault="005563E9" w:rsidP="00A22143">
      <w:pPr>
        <w:spacing w:after="0"/>
      </w:pPr>
    </w:p>
    <w:p w14:paraId="2C7C96C4" w14:textId="4838DFCE" w:rsidR="008D1328" w:rsidRPr="00991B62" w:rsidRDefault="0037442A" w:rsidP="008D1328">
      <w:pPr>
        <w:spacing w:after="0"/>
      </w:pPr>
      <w:r>
        <w:t xml:space="preserve">The Family Justice Council </w:t>
      </w:r>
      <w:r w:rsidR="00F25AC4">
        <w:t xml:space="preserve">queries whether a similar process could be adapted for use in private law proceedings, with the applicant ordinarily making the request for </w:t>
      </w:r>
      <w:r w:rsidR="008D1328">
        <w:t xml:space="preserve">voluntary </w:t>
      </w:r>
      <w:r w:rsidR="00F25AC4">
        <w:t>disclosure</w:t>
      </w:r>
      <w:r w:rsidR="00F25AC4" w:rsidRPr="00991B62">
        <w:t xml:space="preserve">.  </w:t>
      </w:r>
      <w:r w:rsidR="00991B62">
        <w:t xml:space="preserve">This could be </w:t>
      </w:r>
      <w:r w:rsidR="00344C41" w:rsidRPr="00991B62">
        <w:t>addressed by a direction in the allocation order</w:t>
      </w:r>
      <w:r w:rsidR="00991B62">
        <w:t>,</w:t>
      </w:r>
      <w:r w:rsidR="00344C41" w:rsidRPr="00991B62">
        <w:t xml:space="preserve"> as parties are unlikely to be aware of the option or process</w:t>
      </w:r>
      <w:r w:rsidR="00991B62">
        <w:t>.</w:t>
      </w:r>
    </w:p>
    <w:p w14:paraId="6D5BABC2" w14:textId="77777777" w:rsidR="008D1328" w:rsidRDefault="008D1328" w:rsidP="008D1328">
      <w:pPr>
        <w:spacing w:after="0"/>
      </w:pPr>
    </w:p>
    <w:p w14:paraId="3FCFAFE5" w14:textId="54242BA9" w:rsidR="00A35625" w:rsidRDefault="00F25AC4" w:rsidP="00F628E7">
      <w:r>
        <w:t>The Family Justice Council notes that increa</w:t>
      </w:r>
      <w:r w:rsidR="00CB178C">
        <w:t>sing numbers of</w:t>
      </w:r>
      <w:r>
        <w:t xml:space="preserve"> parties in private law proceedings</w:t>
      </w:r>
      <w:r w:rsidR="00CB178C">
        <w:t xml:space="preserve"> are l</w:t>
      </w:r>
      <w:r w:rsidR="00A35625">
        <w:t>itigants in person</w:t>
      </w:r>
      <w:r w:rsidR="00CB178C">
        <w:t xml:space="preserve"> (</w:t>
      </w:r>
      <w:hyperlink r:id="rId8" w:history="1">
        <w:r w:rsidR="00CB178C" w:rsidRPr="009829EE">
          <w:rPr>
            <w:rStyle w:val="Hyperlink"/>
          </w:rPr>
          <w:t>https://www.gov.uk/government/statistics/family-court-statistics-quarterly-january-to-march-2021/family-court-statistics-quarterly-january-to-march-2021</w:t>
        </w:r>
      </w:hyperlink>
      <w:r w:rsidR="00CB178C">
        <w:t xml:space="preserve"> ), so any</w:t>
      </w:r>
      <w:r w:rsidR="008D1328">
        <w:t xml:space="preserve"> changes (including adding provisions for voluntary disclosure)</w:t>
      </w:r>
      <w:r w:rsidR="00CB178C">
        <w:t xml:space="preserve"> would have to allow for the possibility that one or all of the parties might be without legal representation.</w:t>
      </w:r>
    </w:p>
    <w:p w14:paraId="5696493C" w14:textId="62F1333F" w:rsidR="00CB178C" w:rsidRPr="00A35625" w:rsidRDefault="00CB178C" w:rsidP="00F628E7">
      <w:r>
        <w:t>The police will expect that any audio or video recordings are sent and stored securely and will ask parties’ solicitors for undertakings to that effect. Again bearing in mind th</w:t>
      </w:r>
      <w:r w:rsidR="008D1328">
        <w:t>at</w:t>
      </w:r>
      <w:r>
        <w:t xml:space="preserve"> increasing </w:t>
      </w:r>
      <w:r w:rsidRPr="00CB178C">
        <w:t>numbers of parties in private law proceedings are litigants in person</w:t>
      </w:r>
      <w:r w:rsidR="00A22143">
        <w:t xml:space="preserve">, that has to be considered. It might be that the police would have to </w:t>
      </w:r>
      <w:r w:rsidR="008D1328">
        <w:t>arrange for</w:t>
      </w:r>
      <w:r w:rsidR="00A22143">
        <w:t xml:space="preserve"> litigants in person to hear or view such material without releasing it to them.</w:t>
      </w:r>
    </w:p>
    <w:p w14:paraId="78C610EC" w14:textId="77777777" w:rsidR="00F628E7" w:rsidRPr="00F628E7" w:rsidRDefault="00F628E7" w:rsidP="00F628E7"/>
    <w:p w14:paraId="5A039B88" w14:textId="77777777" w:rsidR="00F628E7" w:rsidRPr="00F628E7" w:rsidRDefault="00F628E7" w:rsidP="00A22143">
      <w:pPr>
        <w:spacing w:after="0"/>
        <w:rPr>
          <w:b/>
          <w:bCs/>
        </w:rPr>
      </w:pPr>
      <w:r w:rsidRPr="00F628E7">
        <w:rPr>
          <w:b/>
          <w:bCs/>
        </w:rPr>
        <w:t>Question 2</w:t>
      </w:r>
    </w:p>
    <w:p w14:paraId="5772A55E" w14:textId="77777777" w:rsidR="00F628E7" w:rsidRDefault="00F628E7" w:rsidP="00A22143">
      <w:pPr>
        <w:spacing w:after="120"/>
      </w:pPr>
      <w:r>
        <w:t>Do you have any feedback on the draft template order?</w:t>
      </w:r>
    </w:p>
    <w:p w14:paraId="08C99338" w14:textId="77777777" w:rsidR="00A22143" w:rsidRDefault="00A22143" w:rsidP="00A22143">
      <w:pPr>
        <w:spacing w:after="0"/>
        <w:rPr>
          <w:b/>
          <w:bCs/>
        </w:rPr>
      </w:pPr>
    </w:p>
    <w:p w14:paraId="01D83C76" w14:textId="74FC294E" w:rsidR="00A22143" w:rsidRPr="00A22143" w:rsidRDefault="00A22143" w:rsidP="00A22143">
      <w:pPr>
        <w:spacing w:after="0"/>
        <w:rPr>
          <w:b/>
          <w:bCs/>
        </w:rPr>
      </w:pPr>
      <w:r>
        <w:rPr>
          <w:b/>
          <w:bCs/>
        </w:rPr>
        <w:t xml:space="preserve">Response </w:t>
      </w:r>
    </w:p>
    <w:p w14:paraId="643EF5BE" w14:textId="684D8AF1" w:rsidR="00F628E7" w:rsidRDefault="00A22143" w:rsidP="00F628E7">
      <w:r>
        <w:t>No, the  draft order appears to be comprehensive.</w:t>
      </w:r>
    </w:p>
    <w:p w14:paraId="00D7D601" w14:textId="77777777" w:rsidR="00A22143" w:rsidRDefault="00A22143" w:rsidP="00F628E7">
      <w:pPr>
        <w:rPr>
          <w:b/>
          <w:bCs/>
        </w:rPr>
      </w:pPr>
    </w:p>
    <w:p w14:paraId="5E6657C2" w14:textId="51714102" w:rsidR="00F628E7" w:rsidRPr="00F628E7" w:rsidRDefault="00F628E7" w:rsidP="00A22143">
      <w:pPr>
        <w:spacing w:after="0"/>
        <w:rPr>
          <w:b/>
          <w:bCs/>
        </w:rPr>
      </w:pPr>
      <w:r w:rsidRPr="00F628E7">
        <w:rPr>
          <w:b/>
          <w:bCs/>
        </w:rPr>
        <w:lastRenderedPageBreak/>
        <w:t xml:space="preserve">Question 3 </w:t>
      </w:r>
    </w:p>
    <w:p w14:paraId="33A5AF72" w14:textId="130572EE" w:rsidR="003F7C40" w:rsidRDefault="00F628E7" w:rsidP="00F628E7">
      <w:r>
        <w:t>Please indicate what areas would be particularly useful for the guidance, as mentioned in Paragraph 7, to cover?</w:t>
      </w:r>
    </w:p>
    <w:p w14:paraId="5DC57BF5" w14:textId="77777777" w:rsidR="00991B0F" w:rsidRDefault="00991B0F" w:rsidP="005563E9">
      <w:pPr>
        <w:spacing w:after="0"/>
        <w:rPr>
          <w:b/>
          <w:bCs/>
        </w:rPr>
      </w:pPr>
    </w:p>
    <w:p w14:paraId="5316CFCE" w14:textId="4A594554" w:rsidR="00A22143" w:rsidRDefault="005563E9" w:rsidP="005563E9">
      <w:pPr>
        <w:spacing w:after="0"/>
        <w:rPr>
          <w:b/>
          <w:bCs/>
        </w:rPr>
      </w:pPr>
      <w:r>
        <w:rPr>
          <w:b/>
          <w:bCs/>
        </w:rPr>
        <w:t>Response</w:t>
      </w:r>
    </w:p>
    <w:p w14:paraId="1ED71889" w14:textId="12157683" w:rsidR="00991B0F" w:rsidRPr="00991B62" w:rsidRDefault="005563E9" w:rsidP="00555469">
      <w:pPr>
        <w:spacing w:after="0"/>
      </w:pPr>
      <w:r>
        <w:t xml:space="preserve">Guidance could usefully give information about the </w:t>
      </w:r>
      <w:r w:rsidR="003D3097">
        <w:t>sort of material held by the police (CRIS reports, CPN records, form 78 reports, etc.), the need to be as specific as possible about what material is being requested, and the police’s usual re</w:t>
      </w:r>
      <w:r w:rsidR="00555469">
        <w:t xml:space="preserve">quirement </w:t>
      </w:r>
      <w:r w:rsidR="00555469" w:rsidRPr="00555469">
        <w:t xml:space="preserve">that any audio or video recordings are sent and stored securely </w:t>
      </w:r>
      <w:r w:rsidR="00555469">
        <w:t>with</w:t>
      </w:r>
      <w:r w:rsidR="00555469" w:rsidRPr="00555469">
        <w:t xml:space="preserve"> parties’ solicitors </w:t>
      </w:r>
      <w:r w:rsidR="00555469">
        <w:t>giving</w:t>
      </w:r>
      <w:r w:rsidR="00555469" w:rsidRPr="00555469">
        <w:t xml:space="preserve">  undertakings to that effect.</w:t>
      </w:r>
      <w:r w:rsidR="00555469">
        <w:t xml:space="preserve"> </w:t>
      </w:r>
      <w:r w:rsidR="00991B62">
        <w:t>T</w:t>
      </w:r>
      <w:r w:rsidR="00344C41" w:rsidRPr="00991B62">
        <w:t>he guidance</w:t>
      </w:r>
      <w:r w:rsidR="00991B62">
        <w:t xml:space="preserve"> could also </w:t>
      </w:r>
      <w:r w:rsidR="00344C41" w:rsidRPr="00991B62">
        <w:t xml:space="preserve"> address what to do if the police are reluctant to release documents directly to parties</w:t>
      </w:r>
      <w:r w:rsidR="00991B62">
        <w:t>,</w:t>
      </w:r>
      <w:r w:rsidR="00344C41" w:rsidRPr="00991B62">
        <w:t xml:space="preserve"> so that arrangements can be made for that material to be viewed</w:t>
      </w:r>
      <w:r w:rsidR="00991B62">
        <w:t>.</w:t>
      </w:r>
    </w:p>
    <w:p w14:paraId="51DA9A2B" w14:textId="77777777" w:rsidR="00991B0F" w:rsidRDefault="00991B0F" w:rsidP="00555469">
      <w:pPr>
        <w:spacing w:after="0"/>
      </w:pPr>
    </w:p>
    <w:p w14:paraId="3D70519F" w14:textId="3CD4FC2A" w:rsidR="00991B0F" w:rsidRDefault="00555469" w:rsidP="00555469">
      <w:pPr>
        <w:spacing w:after="0"/>
      </w:pPr>
      <w:r>
        <w:t xml:space="preserve">The guidance </w:t>
      </w:r>
      <w:r w:rsidR="00991B0F">
        <w:t xml:space="preserve">might also refer to the guidance </w:t>
      </w:r>
      <w:r>
        <w:t>notes to the L</w:t>
      </w:r>
      <w:r w:rsidR="00991B0F">
        <w:t>ondon</w:t>
      </w:r>
      <w:r>
        <w:t xml:space="preserve"> </w:t>
      </w:r>
      <w:r w:rsidR="00991B0F">
        <w:t>request form (LRF) for disclosure of information in family proceedings</w:t>
      </w:r>
    </w:p>
    <w:p w14:paraId="4C6069A4" w14:textId="69EF6C20" w:rsidR="003D3097" w:rsidRDefault="00991B0F" w:rsidP="00555469">
      <w:pPr>
        <w:spacing w:after="0"/>
      </w:pPr>
      <w:r>
        <w:t>(</w:t>
      </w:r>
      <w:hyperlink r:id="rId9" w:history="1">
        <w:r w:rsidRPr="009829EE">
          <w:rPr>
            <w:rStyle w:val="Hyperlink"/>
          </w:rPr>
          <w:t>https://www.met.police.uk/SysSiteAssets/media/downloads/central/services/request/information/met/lrf-guidance-notes.pdf</w:t>
        </w:r>
      </w:hyperlink>
      <w:r>
        <w:t xml:space="preserve"> ) . These notes summarise the process for seeking police disclosure.</w:t>
      </w:r>
    </w:p>
    <w:p w14:paraId="7548A204" w14:textId="2E5E3DA1" w:rsidR="005563E9" w:rsidRDefault="005563E9" w:rsidP="005563E9">
      <w:pPr>
        <w:spacing w:after="0"/>
      </w:pPr>
    </w:p>
    <w:p w14:paraId="7D90136C" w14:textId="1F9BCADF" w:rsidR="00991B0F" w:rsidRPr="00991B0F" w:rsidRDefault="00991B0F" w:rsidP="00991B0F">
      <w:pPr>
        <w:spacing w:after="0"/>
        <w:rPr>
          <w:i/>
          <w:iCs/>
        </w:rPr>
      </w:pPr>
      <w:r>
        <w:t xml:space="preserve">The guidance </w:t>
      </w:r>
      <w:r w:rsidR="008D1328">
        <w:t>could</w:t>
      </w:r>
      <w:r>
        <w:t xml:space="preserve"> refer to the Law Society’s ‘</w:t>
      </w:r>
      <w:r w:rsidRPr="00991B0F">
        <w:rPr>
          <w:i/>
          <w:iCs/>
        </w:rPr>
        <w:t>Related Family and Criminal Proceedings</w:t>
      </w:r>
    </w:p>
    <w:p w14:paraId="3CFF698D" w14:textId="3C904AF5" w:rsidR="00991B0F" w:rsidRPr="00991B0F" w:rsidRDefault="00991B0F" w:rsidP="00991B0F">
      <w:pPr>
        <w:spacing w:after="0"/>
      </w:pPr>
      <w:r w:rsidRPr="00991B0F">
        <w:rPr>
          <w:i/>
          <w:iCs/>
        </w:rPr>
        <w:t>A Good Practice Guide</w:t>
      </w:r>
      <w:r>
        <w:t xml:space="preserve">’, available on the judiciary.uk website - </w:t>
      </w:r>
    </w:p>
    <w:p w14:paraId="001E1B70" w14:textId="65F254F7" w:rsidR="003D3097" w:rsidRDefault="004D37B2" w:rsidP="005563E9">
      <w:pPr>
        <w:spacing w:after="0"/>
      </w:pPr>
      <w:hyperlink r:id="rId10" w:history="1">
        <w:r w:rsidR="00991B0F" w:rsidRPr="009829EE">
          <w:rPr>
            <w:rStyle w:val="Hyperlink"/>
          </w:rPr>
          <w:t>https://www.judiciary.uk/wp-content/uploads/JCO/Documents/FJC/Publications/RelatedFamCrimPro.pdf</w:t>
        </w:r>
      </w:hyperlink>
      <w:r w:rsidR="00555469">
        <w:t xml:space="preserve"> </w:t>
      </w:r>
    </w:p>
    <w:p w14:paraId="1CB270C8" w14:textId="049D7576" w:rsidR="000A0E20" w:rsidRDefault="000A0E20" w:rsidP="005563E9">
      <w:pPr>
        <w:spacing w:after="0"/>
      </w:pPr>
    </w:p>
    <w:p w14:paraId="27AFEA50" w14:textId="7F7637E9" w:rsidR="000A0E20" w:rsidRPr="000A0E20" w:rsidRDefault="000A0E20" w:rsidP="005563E9">
      <w:pPr>
        <w:spacing w:after="0"/>
        <w:rPr>
          <w:b/>
          <w:bCs/>
        </w:rPr>
      </w:pPr>
      <w:r w:rsidRPr="000A0E20">
        <w:rPr>
          <w:b/>
          <w:bCs/>
        </w:rPr>
        <w:t>Family Justice Council</w:t>
      </w:r>
    </w:p>
    <w:p w14:paraId="754BEEFC" w14:textId="7D1C37CC" w:rsidR="000A0E20" w:rsidRPr="000A0E20" w:rsidRDefault="000A0E20" w:rsidP="005563E9">
      <w:pPr>
        <w:spacing w:after="0"/>
        <w:rPr>
          <w:b/>
          <w:bCs/>
        </w:rPr>
      </w:pPr>
    </w:p>
    <w:p w14:paraId="3E958FDC" w14:textId="6E9CCF4A" w:rsidR="000A0E20" w:rsidRPr="000A0E20" w:rsidRDefault="004D37B2" w:rsidP="005563E9">
      <w:pPr>
        <w:spacing w:after="0"/>
        <w:rPr>
          <w:b/>
          <w:bCs/>
        </w:rPr>
      </w:pPr>
      <w:r>
        <w:rPr>
          <w:b/>
          <w:bCs/>
        </w:rPr>
        <w:t>9</w:t>
      </w:r>
      <w:bookmarkStart w:id="0" w:name="_GoBack"/>
      <w:bookmarkEnd w:id="0"/>
      <w:r w:rsidR="000A0E20" w:rsidRPr="000A0E20">
        <w:rPr>
          <w:b/>
          <w:bCs/>
        </w:rPr>
        <w:t xml:space="preserve"> August 2022</w:t>
      </w:r>
    </w:p>
    <w:sectPr w:rsidR="000A0E20" w:rsidRPr="000A0E2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84483" w14:textId="77777777" w:rsidR="0089779A" w:rsidRDefault="0089779A" w:rsidP="008D1328">
      <w:pPr>
        <w:spacing w:after="0" w:line="240" w:lineRule="auto"/>
      </w:pPr>
      <w:r>
        <w:separator/>
      </w:r>
    </w:p>
  </w:endnote>
  <w:endnote w:type="continuationSeparator" w:id="0">
    <w:p w14:paraId="37052EBF" w14:textId="77777777" w:rsidR="0089779A" w:rsidRDefault="0089779A" w:rsidP="008D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51DB8" w14:textId="77777777" w:rsidR="008D1328" w:rsidRDefault="008D1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BC86" w14:textId="77777777" w:rsidR="008D1328" w:rsidRDefault="008D1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3C5D" w14:textId="77777777" w:rsidR="008D1328" w:rsidRDefault="008D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4A5DF" w14:textId="77777777" w:rsidR="0089779A" w:rsidRDefault="0089779A" w:rsidP="008D1328">
      <w:pPr>
        <w:spacing w:after="0" w:line="240" w:lineRule="auto"/>
      </w:pPr>
      <w:r>
        <w:separator/>
      </w:r>
    </w:p>
  </w:footnote>
  <w:footnote w:type="continuationSeparator" w:id="0">
    <w:p w14:paraId="6A9EF3AA" w14:textId="77777777" w:rsidR="0089779A" w:rsidRDefault="0089779A" w:rsidP="008D1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1AAED" w14:textId="0270545B" w:rsidR="008D1328" w:rsidRDefault="008D1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7332C" w14:textId="2A60E267" w:rsidR="008D1328" w:rsidRDefault="008D1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5AD7" w14:textId="5E29BE24" w:rsidR="008D1328" w:rsidRDefault="008D1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E7"/>
    <w:rsid w:val="00031D8C"/>
    <w:rsid w:val="000A0739"/>
    <w:rsid w:val="000A0E20"/>
    <w:rsid w:val="00344C41"/>
    <w:rsid w:val="0037442A"/>
    <w:rsid w:val="003D3097"/>
    <w:rsid w:val="004915DF"/>
    <w:rsid w:val="004D37B2"/>
    <w:rsid w:val="005544CA"/>
    <w:rsid w:val="00555469"/>
    <w:rsid w:val="005563E9"/>
    <w:rsid w:val="0066157F"/>
    <w:rsid w:val="00801056"/>
    <w:rsid w:val="0089779A"/>
    <w:rsid w:val="008D1328"/>
    <w:rsid w:val="00991B0F"/>
    <w:rsid w:val="00991B62"/>
    <w:rsid w:val="00A22143"/>
    <w:rsid w:val="00A35625"/>
    <w:rsid w:val="00B54B32"/>
    <w:rsid w:val="00CB178C"/>
    <w:rsid w:val="00CC2077"/>
    <w:rsid w:val="00F25AC4"/>
    <w:rsid w:val="00F62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7BCD0"/>
  <w15:chartTrackingRefBased/>
  <w15:docId w15:val="{28018815-78BA-4A35-9272-9B68C2E3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42A"/>
    <w:rPr>
      <w:color w:val="0563C1" w:themeColor="hyperlink"/>
      <w:u w:val="single"/>
    </w:rPr>
  </w:style>
  <w:style w:type="character" w:styleId="UnresolvedMention">
    <w:name w:val="Unresolved Mention"/>
    <w:basedOn w:val="DefaultParagraphFont"/>
    <w:uiPriority w:val="99"/>
    <w:semiHidden/>
    <w:unhideWhenUsed/>
    <w:rsid w:val="0037442A"/>
    <w:rPr>
      <w:color w:val="605E5C"/>
      <w:shd w:val="clear" w:color="auto" w:fill="E1DFDD"/>
    </w:rPr>
  </w:style>
  <w:style w:type="character" w:styleId="FollowedHyperlink">
    <w:name w:val="FollowedHyperlink"/>
    <w:basedOn w:val="DefaultParagraphFont"/>
    <w:uiPriority w:val="99"/>
    <w:semiHidden/>
    <w:unhideWhenUsed/>
    <w:rsid w:val="00555469"/>
    <w:rPr>
      <w:color w:val="954F72" w:themeColor="followedHyperlink"/>
      <w:u w:val="single"/>
    </w:rPr>
  </w:style>
  <w:style w:type="paragraph" w:styleId="Header">
    <w:name w:val="header"/>
    <w:basedOn w:val="Normal"/>
    <w:link w:val="HeaderChar"/>
    <w:uiPriority w:val="99"/>
    <w:unhideWhenUsed/>
    <w:rsid w:val="008D1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328"/>
  </w:style>
  <w:style w:type="paragraph" w:styleId="Footer">
    <w:name w:val="footer"/>
    <w:basedOn w:val="Normal"/>
    <w:link w:val="FooterChar"/>
    <w:uiPriority w:val="99"/>
    <w:unhideWhenUsed/>
    <w:rsid w:val="008D1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tatistics/family-court-statistics-quarterly-january-to-march-2021/family-court-statistics-quarterly-january-to-march-202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judiciary.uk/wp-content/uploads/JCO/Documents/Guidance/protocol-good-practice-model-2013.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judiciary.uk/wp-content/uploads/JCO/Documents/FJC/Publications/RelatedFamCrimPro.pdf" TargetMode="External"/><Relationship Id="rId4" Type="http://schemas.openxmlformats.org/officeDocument/2006/relationships/footnotes" Target="footnotes.xml"/><Relationship Id="rId9" Type="http://schemas.openxmlformats.org/officeDocument/2006/relationships/hyperlink" Target="https://www.met.police.uk/SysSiteAssets/media/downloads/central/services/request/information/met/lrf-guidance-note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Davis</dc:creator>
  <cp:keywords/>
  <dc:description/>
  <cp:lastModifiedBy>Webb, Kim (Judicial Office)</cp:lastModifiedBy>
  <cp:revision>3</cp:revision>
  <dcterms:created xsi:type="dcterms:W3CDTF">2022-08-09T08:20:00Z</dcterms:created>
  <dcterms:modified xsi:type="dcterms:W3CDTF">2022-08-09T08:20:00Z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5248572</vt:i4>
  </property>
</Properties>
</file>